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5" w:type="dxa"/>
        <w:tblLayout w:type="fixed"/>
        <w:tblCellMar>
          <w:left w:w="144" w:type="dxa"/>
          <w:right w:w="36" w:type="dxa"/>
        </w:tblCellMar>
        <w:tblLook w:val="0000" w:firstRow="0" w:lastRow="0" w:firstColumn="0" w:lastColumn="0" w:noHBand="0" w:noVBand="0"/>
      </w:tblPr>
      <w:tblGrid>
        <w:gridCol w:w="2370"/>
        <w:gridCol w:w="5385"/>
        <w:gridCol w:w="2580"/>
      </w:tblGrid>
      <w:tr w:rsidR="00EE25A6" w:rsidRPr="004B154A" w14:paraId="4C6B7CD7" w14:textId="77777777" w:rsidTr="004271FA"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14:paraId="515ED479" w14:textId="77777777" w:rsidR="00EE25A6" w:rsidRPr="004B154A" w:rsidRDefault="00EE25A6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bookmarkStart w:id="0" w:name="X55c2031cbf11c7314928d4660b4dc90c2bd0fa9"/>
            <w:r w:rsidRPr="004B154A">
              <w:rPr>
                <w:rFonts w:ascii="Proxima Nova" w:hAnsi="Proxima Nova"/>
                <w:noProof/>
                <w:lang w:val="x-none"/>
              </w:rPr>
              <w:drawing>
                <wp:anchor distT="0" distB="0" distL="114300" distR="114300" simplePos="0" relativeHeight="251659264" behindDoc="1" locked="0" layoutInCell="1" allowOverlap="1" wp14:anchorId="0980A294" wp14:editId="26E9BDB7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105283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105" y="21300"/>
                      <wp:lineTo x="21105" y="0"/>
                      <wp:lineTo x="0" y="0"/>
                    </wp:wrapPolygon>
                  </wp:wrapTight>
                  <wp:docPr id="141006785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tx_id_1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</w:tcMar>
          </w:tcPr>
          <w:p w14:paraId="3E0A153A" w14:textId="77777777" w:rsidR="00EE25A6" w:rsidRPr="004B154A" w:rsidRDefault="00EE25A6" w:rsidP="004271FA">
            <w:pPr>
              <w:jc w:val="center"/>
              <w:rPr>
                <w:rFonts w:ascii="Proxima Nova" w:hAnsi="Proxima Nova"/>
              </w:rPr>
            </w:pPr>
          </w:p>
          <w:p w14:paraId="23DD21CC" w14:textId="77777777" w:rsidR="00EE25A6" w:rsidRPr="004B154A" w:rsidRDefault="00EE25A6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 Riverside Street, Ste 101, Nashua, NH 03062</w:t>
            </w:r>
          </w:p>
          <w:p w14:paraId="75664CC6" w14:textId="77777777" w:rsidR="00EE25A6" w:rsidRPr="004B154A" w:rsidRDefault="00EE25A6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9 Washington Place, Ste 101, Bedford, NH 03110</w:t>
            </w:r>
          </w:p>
          <w:p w14:paraId="709C3493" w14:textId="77777777" w:rsidR="00EE25A6" w:rsidRPr="004B154A" w:rsidRDefault="00EE25A6" w:rsidP="004271FA">
            <w:pPr>
              <w:spacing w:line="278" w:lineRule="auto"/>
              <w:jc w:val="center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175 Rockingham Road, Londonderry, NH 03053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tcMar>
              <w:left w:w="36" w:type="dxa"/>
              <w:right w:w="108" w:type="dxa"/>
            </w:tcMar>
          </w:tcPr>
          <w:p w14:paraId="3399D3EE" w14:textId="77777777" w:rsidR="00EE25A6" w:rsidRPr="004B154A" w:rsidRDefault="00EE25A6" w:rsidP="004271FA">
            <w:pPr>
              <w:jc w:val="right"/>
              <w:rPr>
                <w:rFonts w:ascii="Proxima Nova" w:hAnsi="Proxima Nova"/>
              </w:rPr>
            </w:pPr>
          </w:p>
          <w:p w14:paraId="2F6413EC" w14:textId="77777777" w:rsidR="00EE25A6" w:rsidRPr="004B154A" w:rsidRDefault="00EE25A6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P: 603.883.0091</w:t>
            </w:r>
          </w:p>
          <w:p w14:paraId="2D5D22FF" w14:textId="77777777" w:rsidR="00EE25A6" w:rsidRPr="004B154A" w:rsidRDefault="00EE25A6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F: 603.594.0134</w:t>
            </w:r>
          </w:p>
          <w:p w14:paraId="69145771" w14:textId="77777777" w:rsidR="00EE25A6" w:rsidRPr="004B154A" w:rsidRDefault="00EE25A6" w:rsidP="004271FA">
            <w:pPr>
              <w:spacing w:line="278" w:lineRule="auto"/>
              <w:jc w:val="right"/>
              <w:rPr>
                <w:rFonts w:ascii="Proxima Nova" w:hAnsi="Proxima Nova"/>
              </w:rPr>
            </w:pPr>
            <w:r w:rsidRPr="004B154A">
              <w:rPr>
                <w:rFonts w:ascii="Proxima Nova" w:hAnsi="Proxima Nova"/>
              </w:rPr>
              <w:t>nhoc.com</w:t>
            </w:r>
          </w:p>
        </w:tc>
      </w:tr>
    </w:tbl>
    <w:p w14:paraId="52A1286F" w14:textId="77777777" w:rsidR="00EE25A6" w:rsidRPr="0068159B" w:rsidRDefault="00EE25A6" w:rsidP="00EE25A6">
      <w:pPr>
        <w:pStyle w:val="Heading1"/>
        <w:spacing w:after="160"/>
        <w:jc w:val="center"/>
        <w:rPr>
          <w:b/>
          <w:bCs/>
          <w:color w:val="auto"/>
          <w:sz w:val="32"/>
          <w:szCs w:val="32"/>
        </w:rPr>
      </w:pPr>
      <w:r w:rsidRPr="0068159B">
        <w:rPr>
          <w:b/>
          <w:bCs/>
          <w:color w:val="auto"/>
          <w:sz w:val="32"/>
          <w:szCs w:val="32"/>
        </w:rPr>
        <w:t>Arjun Dhaylan, MD</w:t>
      </w:r>
    </w:p>
    <w:p w14:paraId="0B990C7C" w14:textId="7B64B3E7" w:rsidR="00EE25A6" w:rsidRDefault="00EE25A6" w:rsidP="00EE25A6">
      <w:pPr>
        <w:pStyle w:val="Heading1"/>
      </w:pPr>
      <w:r>
        <w:rPr>
          <w:b/>
          <w:bCs/>
          <w:color w:val="003462"/>
          <w:sz w:val="32"/>
          <w:szCs w:val="32"/>
        </w:rPr>
        <w:t>Thumb CMC</w:t>
      </w:r>
      <w:r>
        <w:rPr>
          <w:b/>
          <w:bCs/>
          <w:color w:val="003462"/>
          <w:sz w:val="32"/>
          <w:szCs w:val="32"/>
        </w:rPr>
        <w:t xml:space="preserve"> (</w:t>
      </w:r>
      <w:r>
        <w:rPr>
          <w:b/>
          <w:bCs/>
          <w:color w:val="003462"/>
          <w:sz w:val="32"/>
          <w:szCs w:val="32"/>
        </w:rPr>
        <w:t>Basal Joint</w:t>
      </w:r>
      <w:r>
        <w:rPr>
          <w:b/>
          <w:bCs/>
          <w:color w:val="003462"/>
          <w:sz w:val="32"/>
          <w:szCs w:val="32"/>
        </w:rPr>
        <w:t>)</w:t>
      </w:r>
      <w:r>
        <w:rPr>
          <w:b/>
          <w:bCs/>
          <w:color w:val="003462"/>
          <w:sz w:val="32"/>
          <w:szCs w:val="32"/>
        </w:rPr>
        <w:t xml:space="preserve"> Arthritis</w:t>
      </w:r>
      <w:r>
        <w:rPr>
          <w:b/>
          <w:bCs/>
          <w:color w:val="003462"/>
          <w:sz w:val="32"/>
          <w:szCs w:val="32"/>
        </w:rPr>
        <w:t xml:space="preserve">: </w:t>
      </w:r>
      <w:r w:rsidRPr="004B154A">
        <w:rPr>
          <w:b/>
          <w:bCs/>
          <w:color w:val="003462"/>
          <w:sz w:val="32"/>
          <w:szCs w:val="32"/>
        </w:rPr>
        <w:t>Patient Education Sheet</w:t>
      </w:r>
    </w:p>
    <w:p w14:paraId="35804486" w14:textId="77777777" w:rsidR="00057337" w:rsidRDefault="007151AA">
      <w:pPr>
        <w:pStyle w:val="Heading2"/>
      </w:pPr>
      <w:bookmarkStart w:id="1" w:name="what-is-thumb-cmc-arthritis"/>
      <w:r>
        <w:t>What Is Thumb CMC Arthritis?</w:t>
      </w:r>
    </w:p>
    <w:p w14:paraId="14D1A046" w14:textId="77777777" w:rsidR="00057337" w:rsidRDefault="007151AA">
      <w:pPr>
        <w:pStyle w:val="FirstParagraph"/>
      </w:pPr>
      <w:r>
        <w:t xml:space="preserve">Thumb CMC arthritis is </w:t>
      </w:r>
      <w:r>
        <w:rPr>
          <w:b/>
          <w:bCs/>
        </w:rPr>
        <w:t>wear-and-tear arthritis</w:t>
      </w:r>
      <w:r>
        <w:t xml:space="preserve"> of the joint at the </w:t>
      </w:r>
      <w:r>
        <w:rPr>
          <w:b/>
          <w:bCs/>
        </w:rPr>
        <w:t>base of the thumb</w:t>
      </w:r>
      <w:r>
        <w:t xml:space="preserve">, where the thumb meets the wrist. This joint is critical for </w:t>
      </w:r>
      <w:r>
        <w:rPr>
          <w:b/>
          <w:bCs/>
        </w:rPr>
        <w:t>pinching and gripping</w:t>
      </w:r>
      <w:r>
        <w:t>. As cartilage wears down, the joint becomes painful and less stable.</w:t>
      </w:r>
    </w:p>
    <w:p w14:paraId="0EB6722D" w14:textId="77777777" w:rsidR="001917B1" w:rsidRDefault="007151AA">
      <w:pPr>
        <w:pStyle w:val="BodyText"/>
      </w:pPr>
      <w:r>
        <w:t xml:space="preserve">It is common in: </w:t>
      </w:r>
    </w:p>
    <w:p w14:paraId="48FE5DDE" w14:textId="39E4845B" w:rsidR="00057337" w:rsidRDefault="007151AA">
      <w:pPr>
        <w:pStyle w:val="BodyText"/>
      </w:pPr>
      <w:r>
        <w:t>- Women over age 40–50</w:t>
      </w:r>
      <w:r>
        <w:br/>
        <w:t>- Patients with prior thumb injury</w:t>
      </w:r>
      <w:r>
        <w:br/>
        <w:t>- People who do frequent pinching or gripping</w:t>
      </w:r>
    </w:p>
    <w:p w14:paraId="6163EF94" w14:textId="77777777" w:rsidR="00057337" w:rsidRDefault="007151AA">
      <w:r>
        <w:pict w14:anchorId="71982F49">
          <v:rect id="_x0000_i1025" style="width:0;height:1.5pt" o:hralign="center" o:hrstd="t" o:hr="t"/>
        </w:pict>
      </w:r>
    </w:p>
    <w:p w14:paraId="51EAEA1D" w14:textId="77777777" w:rsidR="00057337" w:rsidRDefault="007151AA">
      <w:pPr>
        <w:pStyle w:val="Heading2"/>
      </w:pPr>
      <w:bookmarkStart w:id="2" w:name="common-symptoms"/>
      <w:bookmarkEnd w:id="1"/>
      <w:r>
        <w:t>Common Symptoms</w:t>
      </w:r>
    </w:p>
    <w:p w14:paraId="3C244336" w14:textId="77777777" w:rsidR="00057337" w:rsidRDefault="007151AA">
      <w:pPr>
        <w:pStyle w:val="Compact"/>
        <w:numPr>
          <w:ilvl w:val="0"/>
          <w:numId w:val="2"/>
        </w:numPr>
      </w:pPr>
      <w:r>
        <w:t xml:space="preserve">Pain at the </w:t>
      </w:r>
      <w:r>
        <w:rPr>
          <w:b/>
          <w:bCs/>
        </w:rPr>
        <w:t>base of the thumb</w:t>
      </w:r>
      <w:r>
        <w:br/>
      </w:r>
    </w:p>
    <w:p w14:paraId="56333EF0" w14:textId="77777777" w:rsidR="00057337" w:rsidRDefault="007151AA">
      <w:pPr>
        <w:pStyle w:val="Compact"/>
        <w:numPr>
          <w:ilvl w:val="0"/>
          <w:numId w:val="2"/>
        </w:numPr>
      </w:pPr>
      <w:r>
        <w:t>Weakness with pinching or gripping (jars, keys, buttons)</w:t>
      </w:r>
      <w:r>
        <w:br/>
      </w:r>
    </w:p>
    <w:p w14:paraId="0702729B" w14:textId="77777777" w:rsidR="00057337" w:rsidRDefault="007151AA">
      <w:pPr>
        <w:pStyle w:val="Compact"/>
        <w:numPr>
          <w:ilvl w:val="0"/>
          <w:numId w:val="2"/>
        </w:numPr>
      </w:pPr>
      <w:r>
        <w:t>Swelling or tenderness at the thumb base</w:t>
      </w:r>
      <w:r>
        <w:br/>
      </w:r>
    </w:p>
    <w:p w14:paraId="03F349A0" w14:textId="77777777" w:rsidR="00057337" w:rsidRDefault="007151AA">
      <w:pPr>
        <w:pStyle w:val="Compact"/>
        <w:numPr>
          <w:ilvl w:val="0"/>
          <w:numId w:val="2"/>
        </w:numPr>
      </w:pPr>
      <w:r>
        <w:t>Stiffness or reduced motion</w:t>
      </w:r>
      <w:r>
        <w:br/>
      </w:r>
    </w:p>
    <w:p w14:paraId="275C4423" w14:textId="77777777" w:rsidR="00057337" w:rsidRDefault="007151AA">
      <w:pPr>
        <w:pStyle w:val="Compact"/>
        <w:numPr>
          <w:ilvl w:val="0"/>
          <w:numId w:val="2"/>
        </w:numPr>
      </w:pPr>
      <w:proofErr w:type="gramStart"/>
      <w:r>
        <w:t>Pain that</w:t>
      </w:r>
      <w:proofErr w:type="gramEnd"/>
      <w:r>
        <w:t xml:space="preserve"> worsens with use and improves with rest</w:t>
      </w:r>
    </w:p>
    <w:p w14:paraId="22577B6D" w14:textId="77777777" w:rsidR="00FB4851" w:rsidRDefault="00FB4851" w:rsidP="00FB4851">
      <w:pPr>
        <w:pStyle w:val="Compact"/>
      </w:pPr>
    </w:p>
    <w:p w14:paraId="1A9DA6F5" w14:textId="0589D1AF" w:rsidR="00FB4851" w:rsidRDefault="00FB4851" w:rsidP="00FB4851">
      <w:pPr>
        <w:pStyle w:val="Compact"/>
      </w:pPr>
      <w:r>
        <w:rPr>
          <w:noProof/>
        </w:rPr>
        <w:lastRenderedPageBreak/>
        <w:drawing>
          <wp:inline distT="0" distB="0" distL="0" distR="0" wp14:anchorId="41C46F5C" wp14:editId="11ADD809">
            <wp:extent cx="2506194" cy="2009775"/>
            <wp:effectExtent l="0" t="0" r="0" b="0"/>
            <wp:docPr id="1709557843" name="Picture 1" descr="Thumb Arthritis Treatment in Raleigh by Dr. Erick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umb Arthritis Treatment in Raleigh by Dr. Ericks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966" cy="201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EB15C" w14:textId="77777777" w:rsidR="00057337" w:rsidRDefault="007151AA">
      <w:r>
        <w:pict w14:anchorId="765AF269">
          <v:rect id="_x0000_i1026" style="width:0;height:1.5pt" o:hralign="center" o:hrstd="t" o:hr="t"/>
        </w:pict>
      </w:r>
    </w:p>
    <w:p w14:paraId="5DD6C434" w14:textId="77777777" w:rsidR="00057337" w:rsidRDefault="007151AA">
      <w:pPr>
        <w:pStyle w:val="Heading2"/>
      </w:pPr>
      <w:bookmarkStart w:id="3" w:name="non-surgical-treatment-options"/>
      <w:bookmarkEnd w:id="2"/>
      <w:r>
        <w:t>Non-Surgical Treatment Options</w:t>
      </w:r>
    </w:p>
    <w:p w14:paraId="1331D80F" w14:textId="77777777" w:rsidR="00057337" w:rsidRDefault="007151AA">
      <w:pPr>
        <w:pStyle w:val="FirstParagraph"/>
      </w:pPr>
      <w:r>
        <w:rPr>
          <w:i/>
          <w:iCs/>
        </w:rPr>
        <w:t>Listed from least invasive to more invasive.</w:t>
      </w:r>
    </w:p>
    <w:p w14:paraId="7A3A70C4" w14:textId="77777777" w:rsidR="00057337" w:rsidRDefault="007151AA">
      <w:pPr>
        <w:numPr>
          <w:ilvl w:val="0"/>
          <w:numId w:val="3"/>
        </w:numPr>
      </w:pPr>
      <w:r>
        <w:rPr>
          <w:b/>
          <w:bCs/>
        </w:rPr>
        <w:t>Activity modification</w:t>
      </w:r>
      <w:r>
        <w:br/>
        <w:t>(avoiding forceful pinch, using larger handles, pacing activities)</w:t>
      </w:r>
    </w:p>
    <w:p w14:paraId="2F050DAF" w14:textId="77777777" w:rsidR="00057337" w:rsidRDefault="007151AA">
      <w:pPr>
        <w:numPr>
          <w:ilvl w:val="0"/>
          <w:numId w:val="3"/>
        </w:numPr>
      </w:pPr>
      <w:r>
        <w:rPr>
          <w:b/>
          <w:bCs/>
        </w:rPr>
        <w:t>Bracing or splinting</w:t>
      </w:r>
      <w:r>
        <w:br/>
        <w:t>(Comfort Cool®, Push MetaGrip®, or custom thermoplastic brace)</w:t>
      </w:r>
    </w:p>
    <w:p w14:paraId="6FEABD6D" w14:textId="77777777" w:rsidR="00057337" w:rsidRDefault="007151AA">
      <w:pPr>
        <w:numPr>
          <w:ilvl w:val="0"/>
          <w:numId w:val="3"/>
        </w:numPr>
      </w:pPr>
      <w:r>
        <w:rPr>
          <w:b/>
          <w:bCs/>
        </w:rPr>
        <w:t>Hand therapy / occupational therapy</w:t>
      </w:r>
      <w:r>
        <w:br/>
        <w:t>(joint protection strategies, strengthening, adaptive techniques)</w:t>
      </w:r>
    </w:p>
    <w:p w14:paraId="1B71EA0C" w14:textId="77777777" w:rsidR="00057337" w:rsidRDefault="007151AA">
      <w:pPr>
        <w:numPr>
          <w:ilvl w:val="0"/>
          <w:numId w:val="3"/>
        </w:numPr>
      </w:pPr>
      <w:r>
        <w:rPr>
          <w:b/>
          <w:bCs/>
        </w:rPr>
        <w:t>Medications</w:t>
      </w:r>
    </w:p>
    <w:p w14:paraId="7C2C941D" w14:textId="77777777" w:rsidR="00057337" w:rsidRDefault="007151AA">
      <w:pPr>
        <w:pStyle w:val="Compact"/>
        <w:numPr>
          <w:ilvl w:val="1"/>
          <w:numId w:val="4"/>
        </w:numPr>
      </w:pPr>
      <w:r>
        <w:t>Oral NSAIDs (ibuprofen, naproxen, celecoxib)</w:t>
      </w:r>
      <w:r>
        <w:br/>
      </w:r>
    </w:p>
    <w:p w14:paraId="553B20DC" w14:textId="77777777" w:rsidR="00057337" w:rsidRDefault="007151AA">
      <w:pPr>
        <w:pStyle w:val="Compact"/>
        <w:numPr>
          <w:ilvl w:val="1"/>
          <w:numId w:val="4"/>
        </w:numPr>
      </w:pPr>
      <w:r>
        <w:t>Topical NSAIDs (diclofenac gel)</w:t>
      </w:r>
      <w:r>
        <w:br/>
      </w:r>
    </w:p>
    <w:p w14:paraId="5868695E" w14:textId="77777777" w:rsidR="00057337" w:rsidRDefault="007151AA">
      <w:pPr>
        <w:pStyle w:val="Compact"/>
        <w:numPr>
          <w:ilvl w:val="1"/>
          <w:numId w:val="4"/>
        </w:numPr>
      </w:pPr>
      <w:r>
        <w:t>Oral steroid taper (Medrol Dose Pack® for short-term flare control)</w:t>
      </w:r>
    </w:p>
    <w:p w14:paraId="389F25FF" w14:textId="77777777" w:rsidR="00057337" w:rsidRDefault="007151AA">
      <w:pPr>
        <w:numPr>
          <w:ilvl w:val="0"/>
          <w:numId w:val="3"/>
        </w:numPr>
      </w:pPr>
      <w:r>
        <w:rPr>
          <w:b/>
          <w:bCs/>
        </w:rPr>
        <w:t>Heat or ice</w:t>
      </w:r>
      <w:r>
        <w:br/>
        <w:t>(heat for stiffness, ice for flares)</w:t>
      </w:r>
    </w:p>
    <w:p w14:paraId="4C818239" w14:textId="77777777" w:rsidR="00057337" w:rsidRDefault="007151AA">
      <w:pPr>
        <w:numPr>
          <w:ilvl w:val="0"/>
          <w:numId w:val="3"/>
        </w:numPr>
      </w:pPr>
      <w:r>
        <w:rPr>
          <w:b/>
          <w:bCs/>
        </w:rPr>
        <w:t>Corticosteroid injection</w:t>
      </w:r>
      <w:r>
        <w:t xml:space="preserve"> (anti-inflammatory injection into the joint)</w:t>
      </w:r>
    </w:p>
    <w:p w14:paraId="1F6DB5B4" w14:textId="77777777" w:rsidR="00057337" w:rsidRDefault="007151AA">
      <w:pPr>
        <w:pStyle w:val="Compact"/>
        <w:numPr>
          <w:ilvl w:val="1"/>
          <w:numId w:val="5"/>
        </w:numPr>
      </w:pPr>
      <w:r>
        <w:rPr>
          <w:b/>
          <w:bCs/>
        </w:rPr>
        <w:t>Early / mild arthritis:</w:t>
      </w:r>
      <w:r>
        <w:t xml:space="preserve"> ~70–80% short-term pain relief</w:t>
      </w:r>
      <w:r>
        <w:br/>
      </w:r>
    </w:p>
    <w:p w14:paraId="4EE06A92" w14:textId="77777777" w:rsidR="00057337" w:rsidRDefault="007151AA">
      <w:pPr>
        <w:pStyle w:val="Compact"/>
        <w:numPr>
          <w:ilvl w:val="1"/>
          <w:numId w:val="5"/>
        </w:numPr>
      </w:pPr>
      <w:r>
        <w:rPr>
          <w:b/>
          <w:bCs/>
        </w:rPr>
        <w:t>Advanced arthritis:</w:t>
      </w:r>
      <w:r>
        <w:t xml:space="preserve"> ~40–60% short-term pain relief</w:t>
      </w:r>
      <w:r>
        <w:br/>
      </w:r>
    </w:p>
    <w:p w14:paraId="12653504" w14:textId="77777777" w:rsidR="00057337" w:rsidRDefault="007151AA">
      <w:pPr>
        <w:pStyle w:val="Compact"/>
        <w:numPr>
          <w:ilvl w:val="1"/>
          <w:numId w:val="5"/>
        </w:numPr>
      </w:pPr>
      <w:r>
        <w:rPr>
          <w:b/>
          <w:bCs/>
        </w:rPr>
        <w:t>Duration:</w:t>
      </w:r>
      <w:r>
        <w:t xml:space="preserve"> weeks to months</w:t>
      </w:r>
      <w:r>
        <w:br/>
      </w:r>
    </w:p>
    <w:p w14:paraId="4FAF82FD" w14:textId="77777777" w:rsidR="00057337" w:rsidRDefault="007151AA">
      <w:pPr>
        <w:pStyle w:val="Compact"/>
        <w:numPr>
          <w:ilvl w:val="1"/>
          <w:numId w:val="5"/>
        </w:numPr>
      </w:pPr>
      <w:r>
        <w:t xml:space="preserve">Repeat injections are typically spaced </w:t>
      </w:r>
      <w:r>
        <w:rPr>
          <w:b/>
          <w:bCs/>
        </w:rPr>
        <w:t>at least 3 months apart</w:t>
      </w:r>
    </w:p>
    <w:p w14:paraId="1B410804" w14:textId="77777777" w:rsidR="00057337" w:rsidRDefault="007151AA">
      <w:r>
        <w:lastRenderedPageBreak/>
        <w:pict w14:anchorId="1A129FC1">
          <v:rect id="_x0000_i1027" style="width:0;height:1.5pt" o:hralign="center" o:hrstd="t" o:hr="t"/>
        </w:pict>
      </w:r>
    </w:p>
    <w:p w14:paraId="28DD4EB5" w14:textId="77777777" w:rsidR="00057337" w:rsidRDefault="007151AA">
      <w:pPr>
        <w:pStyle w:val="Heading2"/>
      </w:pPr>
      <w:bookmarkStart w:id="4" w:name="surgical-treatment-options"/>
      <w:bookmarkEnd w:id="3"/>
      <w:r>
        <w:t>Surgical Treatment Options</w:t>
      </w:r>
    </w:p>
    <w:p w14:paraId="4D2133A5" w14:textId="77777777" w:rsidR="00057337" w:rsidRDefault="007151AA">
      <w:pPr>
        <w:pStyle w:val="FirstParagraph"/>
      </w:pPr>
      <w:r>
        <w:t>Surgery may be considered when pain continues despite non-surgical treatment and daily activities are limited.</w:t>
      </w:r>
    </w:p>
    <w:p w14:paraId="0DC71C22" w14:textId="77777777" w:rsidR="00057337" w:rsidRDefault="007151AA">
      <w:pPr>
        <w:numPr>
          <w:ilvl w:val="0"/>
          <w:numId w:val="6"/>
        </w:numPr>
      </w:pPr>
      <w:r>
        <w:rPr>
          <w:b/>
          <w:bCs/>
        </w:rPr>
        <w:t>Thumb arthroscopic debridement with synovectomy</w:t>
      </w:r>
      <w:r>
        <w:br/>
      </w:r>
      <w:r>
        <w:rPr>
          <w:i/>
          <w:iCs/>
        </w:rPr>
        <w:t>Minimally invasive procedure that cleans out inflamed tissue and loose cartilage in early arthritis</w:t>
      </w:r>
    </w:p>
    <w:p w14:paraId="2A8EFA00" w14:textId="77777777" w:rsidR="00057337" w:rsidRDefault="007151AA">
      <w:pPr>
        <w:numPr>
          <w:ilvl w:val="0"/>
          <w:numId w:val="6"/>
        </w:numPr>
      </w:pPr>
      <w:r>
        <w:rPr>
          <w:b/>
          <w:bCs/>
        </w:rPr>
        <w:t>Thumb denervation procedure</w:t>
      </w:r>
      <w:r>
        <w:br/>
      </w:r>
      <w:r>
        <w:rPr>
          <w:i/>
          <w:iCs/>
        </w:rPr>
        <w:t>Selectively cuts pain-sensing nerves around the joint to reduce pain while preserving motion</w:t>
      </w:r>
    </w:p>
    <w:p w14:paraId="4A19ADF0" w14:textId="77777777" w:rsidR="00057337" w:rsidRDefault="007151AA">
      <w:pPr>
        <w:numPr>
          <w:ilvl w:val="0"/>
          <w:numId w:val="6"/>
        </w:numPr>
      </w:pPr>
      <w:r>
        <w:rPr>
          <w:b/>
          <w:bCs/>
        </w:rPr>
        <w:t>Basal joint arthroplasty with suture suspension</w:t>
      </w:r>
      <w:r>
        <w:br/>
      </w:r>
      <w:r>
        <w:rPr>
          <w:i/>
          <w:iCs/>
        </w:rPr>
        <w:t>Removes the arthritic bone and uses a strong suture support to stabilize the thumb and relieve pain</w:t>
      </w:r>
    </w:p>
    <w:p w14:paraId="5632A528" w14:textId="77777777" w:rsidR="00057337" w:rsidRDefault="007151AA">
      <w:pPr>
        <w:pStyle w:val="FirstParagraph"/>
      </w:pPr>
      <w:r>
        <w:t xml:space="preserve">The best option depends on </w:t>
      </w:r>
      <w:r>
        <w:rPr>
          <w:b/>
          <w:bCs/>
        </w:rPr>
        <w:t>arthritis severity, age, activity level, and goals</w:t>
      </w:r>
      <w:r>
        <w:t>.</w:t>
      </w:r>
    </w:p>
    <w:p w14:paraId="6FF6C89E" w14:textId="77777777" w:rsidR="00057337" w:rsidRDefault="007151AA">
      <w:r>
        <w:pict w14:anchorId="57878175">
          <v:rect id="_x0000_i1028" style="width:0;height:1.5pt" o:hralign="center" o:hrstd="t" o:hr="t"/>
        </w:pict>
      </w:r>
    </w:p>
    <w:p w14:paraId="697B547A" w14:textId="77777777" w:rsidR="00057337" w:rsidRDefault="007151AA">
      <w:pPr>
        <w:pStyle w:val="Heading2"/>
      </w:pPr>
      <w:bookmarkStart w:id="5" w:name="what-you-can-expect-long-term"/>
      <w:bookmarkEnd w:id="4"/>
      <w:r>
        <w:t>What You Can Expect Long-Term</w:t>
      </w:r>
    </w:p>
    <w:p w14:paraId="3B64A88F" w14:textId="77777777" w:rsidR="00057337" w:rsidRDefault="007151AA">
      <w:pPr>
        <w:pStyle w:val="Compact"/>
        <w:numPr>
          <w:ilvl w:val="0"/>
          <w:numId w:val="7"/>
        </w:numPr>
      </w:pPr>
      <w:r>
        <w:t xml:space="preserve">Thumb CMC arthritis is </w:t>
      </w:r>
      <w:r>
        <w:rPr>
          <w:b/>
          <w:bCs/>
        </w:rPr>
        <w:t>not reversible</w:t>
      </w:r>
      <w:r>
        <w:t xml:space="preserve">, but symptoms are often </w:t>
      </w:r>
      <w:r>
        <w:rPr>
          <w:b/>
          <w:bCs/>
        </w:rPr>
        <w:t>very manageable</w:t>
      </w:r>
      <w:r>
        <w:br/>
      </w:r>
    </w:p>
    <w:p w14:paraId="1FA3406E" w14:textId="77777777" w:rsidR="00057337" w:rsidRDefault="007151AA">
      <w:pPr>
        <w:pStyle w:val="Compact"/>
        <w:numPr>
          <w:ilvl w:val="0"/>
          <w:numId w:val="7"/>
        </w:numPr>
      </w:pPr>
      <w:r>
        <w:t xml:space="preserve">Many patients do well long-term with </w:t>
      </w:r>
      <w:r>
        <w:rPr>
          <w:b/>
          <w:bCs/>
        </w:rPr>
        <w:t>bracing, therapy, and occasional injections</w:t>
      </w:r>
      <w:r>
        <w:br/>
      </w:r>
    </w:p>
    <w:p w14:paraId="54EB8491" w14:textId="77777777" w:rsidR="00057337" w:rsidRDefault="007151AA">
      <w:pPr>
        <w:pStyle w:val="Compact"/>
        <w:numPr>
          <w:ilvl w:val="0"/>
          <w:numId w:val="7"/>
        </w:numPr>
      </w:pPr>
      <w:r>
        <w:t xml:space="preserve">Surgery is effective for </w:t>
      </w:r>
      <w:r>
        <w:rPr>
          <w:b/>
          <w:bCs/>
        </w:rPr>
        <w:t>reliable pain relief and improved function</w:t>
      </w:r>
      <w:r>
        <w:t xml:space="preserve"> when conservative care no longer helps</w:t>
      </w:r>
    </w:p>
    <w:p w14:paraId="6A4988E3" w14:textId="77777777" w:rsidR="00057337" w:rsidRDefault="007151AA">
      <w:r>
        <w:pict w14:anchorId="047E5740">
          <v:rect id="_x0000_i1029" style="width:0;height:1.5pt" o:hralign="center" o:hrstd="t" o:hr="t"/>
        </w:pict>
      </w:r>
    </w:p>
    <w:p w14:paraId="221560FB" w14:textId="77777777" w:rsidR="00057337" w:rsidRDefault="007151AA">
      <w:pPr>
        <w:pStyle w:val="Heading2"/>
      </w:pPr>
      <w:bookmarkStart w:id="6" w:name="practical-tips"/>
      <w:bookmarkEnd w:id="5"/>
      <w:r>
        <w:t>Practical Tips</w:t>
      </w:r>
    </w:p>
    <w:p w14:paraId="293641F8" w14:textId="77777777" w:rsidR="00057337" w:rsidRDefault="007151AA">
      <w:pPr>
        <w:pStyle w:val="Compact"/>
        <w:numPr>
          <w:ilvl w:val="0"/>
          <w:numId w:val="8"/>
        </w:numPr>
      </w:pPr>
      <w:r>
        <w:t xml:space="preserve">Use </w:t>
      </w:r>
      <w:r>
        <w:rPr>
          <w:b/>
          <w:bCs/>
        </w:rPr>
        <w:t>larger grips</w:t>
      </w:r>
      <w:r>
        <w:t xml:space="preserve"> on pens, utensils, and tools</w:t>
      </w:r>
      <w:r>
        <w:br/>
      </w:r>
    </w:p>
    <w:p w14:paraId="218D9732" w14:textId="77777777" w:rsidR="00057337" w:rsidRDefault="007151AA">
      <w:pPr>
        <w:pStyle w:val="Compact"/>
        <w:numPr>
          <w:ilvl w:val="0"/>
          <w:numId w:val="8"/>
        </w:numPr>
      </w:pPr>
      <w:r>
        <w:t xml:space="preserve">Use </w:t>
      </w:r>
      <w:r>
        <w:rPr>
          <w:b/>
          <w:bCs/>
        </w:rPr>
        <w:t>jar openers, key turners, and adaptive devices</w:t>
      </w:r>
      <w:r>
        <w:br/>
      </w:r>
    </w:p>
    <w:p w14:paraId="4FEE134F" w14:textId="77777777" w:rsidR="00057337" w:rsidRDefault="007151AA">
      <w:pPr>
        <w:pStyle w:val="Compact"/>
        <w:numPr>
          <w:ilvl w:val="0"/>
          <w:numId w:val="8"/>
        </w:numPr>
      </w:pPr>
      <w:r>
        <w:t xml:space="preserve">Avoid sustained pinch; use the </w:t>
      </w:r>
      <w:r>
        <w:rPr>
          <w:b/>
          <w:bCs/>
        </w:rPr>
        <w:t>whole hand</w:t>
      </w:r>
      <w:r>
        <w:t xml:space="preserve"> when possible</w:t>
      </w:r>
      <w:r>
        <w:br/>
      </w:r>
    </w:p>
    <w:p w14:paraId="7B6795BD" w14:textId="77777777" w:rsidR="00057337" w:rsidRDefault="007151AA">
      <w:pPr>
        <w:pStyle w:val="Compact"/>
        <w:numPr>
          <w:ilvl w:val="0"/>
          <w:numId w:val="8"/>
        </w:numPr>
      </w:pPr>
      <w:r>
        <w:t xml:space="preserve">Wear your brace during </w:t>
      </w:r>
      <w:r>
        <w:rPr>
          <w:b/>
          <w:bCs/>
        </w:rPr>
        <w:t>painful or high-demand activities</w:t>
      </w:r>
      <w:r>
        <w:br/>
      </w:r>
    </w:p>
    <w:p w14:paraId="4FE85DE8" w14:textId="77777777" w:rsidR="00057337" w:rsidRDefault="007151AA">
      <w:pPr>
        <w:pStyle w:val="Compact"/>
        <w:numPr>
          <w:ilvl w:val="0"/>
          <w:numId w:val="8"/>
        </w:numPr>
      </w:pPr>
      <w:r>
        <w:t xml:space="preserve">Take frequent breaks and </w:t>
      </w:r>
      <w:r>
        <w:rPr>
          <w:b/>
          <w:bCs/>
        </w:rPr>
        <w:t>alternate tasks</w:t>
      </w:r>
      <w:r>
        <w:br/>
      </w:r>
    </w:p>
    <w:p w14:paraId="20677D00" w14:textId="77777777" w:rsidR="00057337" w:rsidRDefault="007151AA">
      <w:pPr>
        <w:pStyle w:val="Compact"/>
        <w:numPr>
          <w:ilvl w:val="0"/>
          <w:numId w:val="8"/>
        </w:numPr>
      </w:pPr>
      <w:r>
        <w:lastRenderedPageBreak/>
        <w:t>Keep the thumb gently moving to avoid stiffness</w:t>
      </w:r>
      <w:r>
        <w:br/>
      </w:r>
    </w:p>
    <w:p w14:paraId="3D333C2C" w14:textId="77777777" w:rsidR="00057337" w:rsidRDefault="007151AA">
      <w:pPr>
        <w:pStyle w:val="Compact"/>
        <w:numPr>
          <w:ilvl w:val="0"/>
          <w:numId w:val="8"/>
        </w:numPr>
      </w:pPr>
      <w:r>
        <w:t xml:space="preserve">Treat flares early with </w:t>
      </w:r>
      <w:r>
        <w:rPr>
          <w:b/>
          <w:bCs/>
        </w:rPr>
        <w:t>rest, heat/ice, or medication</w:t>
      </w:r>
      <w:bookmarkEnd w:id="0"/>
      <w:bookmarkEnd w:id="6"/>
    </w:p>
    <w:sectPr w:rsidR="0005733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ACACA4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8CC53B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73872323">
    <w:abstractNumId w:val="0"/>
  </w:num>
  <w:num w:numId="2" w16cid:durableId="1370229806">
    <w:abstractNumId w:val="1"/>
  </w:num>
  <w:num w:numId="3" w16cid:durableId="1596787077">
    <w:abstractNumId w:val="1"/>
  </w:num>
  <w:num w:numId="4" w16cid:durableId="1912537927">
    <w:abstractNumId w:val="1"/>
  </w:num>
  <w:num w:numId="5" w16cid:durableId="952592655">
    <w:abstractNumId w:val="1"/>
  </w:num>
  <w:num w:numId="6" w16cid:durableId="19091042">
    <w:abstractNumId w:val="1"/>
  </w:num>
  <w:num w:numId="7" w16cid:durableId="2121340295">
    <w:abstractNumId w:val="1"/>
  </w:num>
  <w:num w:numId="8" w16cid:durableId="1589802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337"/>
    <w:rsid w:val="00057337"/>
    <w:rsid w:val="000B4BC4"/>
    <w:rsid w:val="001917B1"/>
    <w:rsid w:val="007151AA"/>
    <w:rsid w:val="007516AD"/>
    <w:rsid w:val="009F2B66"/>
    <w:rsid w:val="00C36B0D"/>
    <w:rsid w:val="00EE25A6"/>
    <w:rsid w:val="00FB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04ECC54"/>
  <w15:docId w15:val="{BA364955-A212-4836-83FA-B3E1E84F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Marissa Lucci</dc:creator>
  <cp:keywords/>
  <cp:lastModifiedBy>Marissa Lucci</cp:lastModifiedBy>
  <cp:revision>2</cp:revision>
  <dcterms:created xsi:type="dcterms:W3CDTF">2026-01-12T16:36:00Z</dcterms:created>
  <dcterms:modified xsi:type="dcterms:W3CDTF">2026-01-12T16:36:00Z</dcterms:modified>
</cp:coreProperties>
</file>