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1E284F" w:rsidRPr="004B154A" w14:paraId="0338EF64" w14:textId="77777777" w:rsidTr="004271F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B16A34D" w14:textId="77777777" w:rsidR="001E284F" w:rsidRPr="004B154A" w:rsidRDefault="001E284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X403656ab17b61f4898c36b6d0e5a16250f11158"/>
            <w:r w:rsidRPr="004B154A">
              <w:rPr>
                <w:rFonts w:ascii="Proxima Nova" w:hAnsi="Proxima Nova"/>
                <w:noProof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0CA4A7C8" wp14:editId="23C56452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5E83B1AA" w14:textId="77777777" w:rsidR="001E284F" w:rsidRPr="004B154A" w:rsidRDefault="001E284F" w:rsidP="004271FA">
            <w:pPr>
              <w:jc w:val="center"/>
              <w:rPr>
                <w:rFonts w:ascii="Proxima Nova" w:hAnsi="Proxima Nova"/>
              </w:rPr>
            </w:pPr>
          </w:p>
          <w:p w14:paraId="7D43A7C9" w14:textId="77777777" w:rsidR="001E284F" w:rsidRPr="004B154A" w:rsidRDefault="001E284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2788D2D7" w14:textId="77777777" w:rsidR="001E284F" w:rsidRPr="004B154A" w:rsidRDefault="001E284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470D4FA8" w14:textId="77777777" w:rsidR="001E284F" w:rsidRPr="004B154A" w:rsidRDefault="001E284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64B5B9CB" w14:textId="77777777" w:rsidR="001E284F" w:rsidRPr="004B154A" w:rsidRDefault="001E284F" w:rsidP="004271FA">
            <w:pPr>
              <w:jc w:val="right"/>
              <w:rPr>
                <w:rFonts w:ascii="Proxima Nova" w:hAnsi="Proxima Nova"/>
              </w:rPr>
            </w:pPr>
          </w:p>
          <w:p w14:paraId="2AA591D1" w14:textId="77777777" w:rsidR="001E284F" w:rsidRPr="004B154A" w:rsidRDefault="001E284F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2CD7B613" w14:textId="77777777" w:rsidR="001E284F" w:rsidRPr="004B154A" w:rsidRDefault="001E284F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6A70C4C0" w14:textId="77777777" w:rsidR="001E284F" w:rsidRPr="004B154A" w:rsidRDefault="001E284F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3A44898C" w14:textId="77777777" w:rsidR="001E284F" w:rsidRPr="0068159B" w:rsidRDefault="001E284F" w:rsidP="001E284F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3CD24E67" w14:textId="76930BC5" w:rsidR="001E284F" w:rsidRDefault="001E284F">
      <w:pPr>
        <w:pStyle w:val="Heading1"/>
      </w:pPr>
      <w:r>
        <w:rPr>
          <w:b/>
          <w:bCs/>
          <w:color w:val="003462"/>
          <w:sz w:val="32"/>
          <w:szCs w:val="32"/>
        </w:rPr>
        <w:t>Proximal Interphalangeal</w:t>
      </w:r>
      <w:r>
        <w:rPr>
          <w:b/>
          <w:bCs/>
          <w:color w:val="003462"/>
          <w:sz w:val="32"/>
          <w:szCs w:val="32"/>
        </w:rPr>
        <w:t xml:space="preserve"> (</w:t>
      </w:r>
      <w:r>
        <w:rPr>
          <w:b/>
          <w:bCs/>
          <w:color w:val="003462"/>
          <w:sz w:val="32"/>
          <w:szCs w:val="32"/>
        </w:rPr>
        <w:t>PIP</w:t>
      </w:r>
      <w:r>
        <w:rPr>
          <w:b/>
          <w:bCs/>
          <w:color w:val="003462"/>
          <w:sz w:val="32"/>
          <w:szCs w:val="32"/>
        </w:rPr>
        <w:t>)</w:t>
      </w:r>
      <w:r>
        <w:rPr>
          <w:b/>
          <w:bCs/>
          <w:color w:val="003462"/>
          <w:sz w:val="32"/>
          <w:szCs w:val="32"/>
        </w:rPr>
        <w:t xml:space="preserve"> Joint Arthritis</w:t>
      </w:r>
      <w:r>
        <w:rPr>
          <w:b/>
          <w:bCs/>
          <w:color w:val="003462"/>
          <w:sz w:val="32"/>
          <w:szCs w:val="32"/>
        </w:rPr>
        <w:t xml:space="preserve">: </w:t>
      </w:r>
      <w:r w:rsidRPr="004B154A">
        <w:rPr>
          <w:b/>
          <w:bCs/>
          <w:color w:val="003462"/>
          <w:sz w:val="32"/>
          <w:szCs w:val="32"/>
        </w:rPr>
        <w:t>Patient Education Sheet</w:t>
      </w:r>
    </w:p>
    <w:p w14:paraId="60D558B6" w14:textId="77777777" w:rsidR="00912310" w:rsidRDefault="00B45BB8">
      <w:pPr>
        <w:pStyle w:val="Heading2"/>
      </w:pPr>
      <w:bookmarkStart w:id="1" w:name="what-is-pip-joint-arthritis"/>
      <w:r>
        <w:t>What Is PIP Joint Arthritis?</w:t>
      </w:r>
    </w:p>
    <w:p w14:paraId="73B92404" w14:textId="77777777" w:rsidR="00912310" w:rsidRDefault="00B45BB8">
      <w:pPr>
        <w:pStyle w:val="FirstParagraph"/>
      </w:pPr>
      <w:r>
        <w:t xml:space="preserve">The </w:t>
      </w:r>
      <w:r>
        <w:rPr>
          <w:b/>
          <w:bCs/>
        </w:rPr>
        <w:t>PIP joint</w:t>
      </w:r>
      <w:r>
        <w:t xml:space="preserve"> is the middle joint of the finger. </w:t>
      </w:r>
      <w:r>
        <w:rPr>
          <w:b/>
          <w:bCs/>
        </w:rPr>
        <w:t>Arthritis</w:t>
      </w:r>
      <w:r>
        <w:t xml:space="preserve"> occurs when the smooth cartilage covering the ends of the bones wears down. This causes the bones to rub together, leading to </w:t>
      </w:r>
      <w:r>
        <w:rPr>
          <w:b/>
          <w:bCs/>
        </w:rPr>
        <w:t>pain, stiffness, swelling, and loss of motion</w:t>
      </w:r>
      <w:r>
        <w:t>.</w:t>
      </w:r>
    </w:p>
    <w:p w14:paraId="20A7AEDB" w14:textId="77777777" w:rsidR="00912310" w:rsidRDefault="00B45BB8">
      <w:pPr>
        <w:pStyle w:val="BodyText"/>
      </w:pPr>
      <w:r>
        <w:t xml:space="preserve">PIP joint arthritis is commonly due to </w:t>
      </w:r>
      <w:r>
        <w:rPr>
          <w:b/>
          <w:bCs/>
        </w:rPr>
        <w:t>osteoarthritis</w:t>
      </w:r>
      <w:r>
        <w:t xml:space="preserve"> (wear-and-tear), but it can also occur with </w:t>
      </w:r>
      <w:r>
        <w:rPr>
          <w:b/>
          <w:bCs/>
        </w:rPr>
        <w:t>inflammatory arthritis</w:t>
      </w:r>
      <w:r>
        <w:t xml:space="preserve"> (such as rheumatoid arthritis) or after a prior finger injury.</w:t>
      </w:r>
    </w:p>
    <w:p w14:paraId="5BEBD5B5" w14:textId="77777777" w:rsidR="00912310" w:rsidRDefault="00B45BB8">
      <w:pPr>
        <w:pStyle w:val="Heading2"/>
      </w:pPr>
      <w:bookmarkStart w:id="2" w:name="common-symptoms"/>
      <w:bookmarkEnd w:id="1"/>
      <w:r>
        <w:t>Common Symptoms</w:t>
      </w:r>
    </w:p>
    <w:p w14:paraId="01726BE8" w14:textId="77777777" w:rsidR="00912310" w:rsidRDefault="00B45BB8">
      <w:pPr>
        <w:pStyle w:val="Compact"/>
        <w:numPr>
          <w:ilvl w:val="0"/>
          <w:numId w:val="2"/>
        </w:numPr>
      </w:pPr>
      <w:r>
        <w:t>Pain in the middle finger joint</w:t>
      </w:r>
    </w:p>
    <w:p w14:paraId="1DA24D05" w14:textId="77777777" w:rsidR="00912310" w:rsidRDefault="00B45BB8">
      <w:pPr>
        <w:pStyle w:val="Compact"/>
        <w:numPr>
          <w:ilvl w:val="0"/>
          <w:numId w:val="2"/>
        </w:numPr>
      </w:pPr>
      <w:r>
        <w:t>Stiffness, especially in the morning or after rest</w:t>
      </w:r>
    </w:p>
    <w:p w14:paraId="767172F5" w14:textId="77777777" w:rsidR="00912310" w:rsidRDefault="00B45BB8">
      <w:pPr>
        <w:pStyle w:val="Compact"/>
        <w:numPr>
          <w:ilvl w:val="0"/>
          <w:numId w:val="2"/>
        </w:numPr>
      </w:pPr>
      <w:r>
        <w:t>Swelling or warmth around the joint</w:t>
      </w:r>
    </w:p>
    <w:p w14:paraId="79542AE8" w14:textId="77777777" w:rsidR="00912310" w:rsidRDefault="00B45BB8">
      <w:pPr>
        <w:pStyle w:val="Compact"/>
        <w:numPr>
          <w:ilvl w:val="0"/>
          <w:numId w:val="2"/>
        </w:numPr>
      </w:pPr>
      <w:r>
        <w:t>Difficulty bending or straightening the finger</w:t>
      </w:r>
    </w:p>
    <w:p w14:paraId="2CFEFF4B" w14:textId="77777777" w:rsidR="00912310" w:rsidRDefault="00B45BB8">
      <w:pPr>
        <w:pStyle w:val="Compact"/>
        <w:numPr>
          <w:ilvl w:val="0"/>
          <w:numId w:val="2"/>
        </w:numPr>
      </w:pPr>
      <w:r>
        <w:t>Weak grip or trouble making a fist</w:t>
      </w:r>
    </w:p>
    <w:p w14:paraId="4D94A135" w14:textId="77777777" w:rsidR="00912310" w:rsidRDefault="00B45BB8">
      <w:pPr>
        <w:pStyle w:val="Compact"/>
        <w:numPr>
          <w:ilvl w:val="0"/>
          <w:numId w:val="2"/>
        </w:numPr>
      </w:pPr>
      <w:r>
        <w:t>Joint enlargement or finger deformity over time</w:t>
      </w:r>
    </w:p>
    <w:p w14:paraId="59F95A99" w14:textId="77777777" w:rsidR="00912310" w:rsidRDefault="00B45BB8">
      <w:pPr>
        <w:pStyle w:val="Heading2"/>
      </w:pPr>
      <w:bookmarkStart w:id="3" w:name="causes-and-risk-factors"/>
      <w:bookmarkEnd w:id="2"/>
      <w:r>
        <w:t>Causes and Risk Factors</w:t>
      </w:r>
    </w:p>
    <w:p w14:paraId="4E159272" w14:textId="77777777" w:rsidR="00912310" w:rsidRDefault="00B45BB8">
      <w:pPr>
        <w:pStyle w:val="Compact"/>
        <w:numPr>
          <w:ilvl w:val="0"/>
          <w:numId w:val="3"/>
        </w:numPr>
      </w:pPr>
      <w:r>
        <w:t>Normal aging and cartilage wear</w:t>
      </w:r>
    </w:p>
    <w:p w14:paraId="2CA00AB6" w14:textId="77777777" w:rsidR="00912310" w:rsidRDefault="00B45BB8">
      <w:pPr>
        <w:pStyle w:val="Compact"/>
        <w:numPr>
          <w:ilvl w:val="0"/>
          <w:numId w:val="3"/>
        </w:numPr>
      </w:pPr>
      <w:r>
        <w:t>Prior finger injury or dislocation</w:t>
      </w:r>
    </w:p>
    <w:p w14:paraId="12C7C628" w14:textId="77777777" w:rsidR="00912310" w:rsidRDefault="00B45BB8">
      <w:pPr>
        <w:pStyle w:val="Compact"/>
        <w:numPr>
          <w:ilvl w:val="0"/>
          <w:numId w:val="3"/>
        </w:numPr>
      </w:pPr>
      <w:r>
        <w:t>Inflammatory arthritis conditions</w:t>
      </w:r>
    </w:p>
    <w:p w14:paraId="15099E70" w14:textId="77777777" w:rsidR="00912310" w:rsidRDefault="00B45BB8">
      <w:pPr>
        <w:pStyle w:val="Compact"/>
        <w:numPr>
          <w:ilvl w:val="0"/>
          <w:numId w:val="3"/>
        </w:numPr>
      </w:pPr>
      <w:r>
        <w:t>Family history of arthritis</w:t>
      </w:r>
    </w:p>
    <w:p w14:paraId="2D0FE11E" w14:textId="77777777" w:rsidR="00912310" w:rsidRDefault="00B45BB8">
      <w:pPr>
        <w:pStyle w:val="Compact"/>
        <w:numPr>
          <w:ilvl w:val="0"/>
          <w:numId w:val="3"/>
        </w:numPr>
      </w:pPr>
      <w:r>
        <w:t>Repetitive hand use or heavy gripping</w:t>
      </w:r>
    </w:p>
    <w:p w14:paraId="553BF8BD" w14:textId="77777777" w:rsidR="00912310" w:rsidRDefault="00B45BB8">
      <w:pPr>
        <w:pStyle w:val="Heading2"/>
      </w:pPr>
      <w:bookmarkStart w:id="4" w:name="how-is-it-diagnosed"/>
      <w:bookmarkEnd w:id="3"/>
      <w:r>
        <w:t>How Is It Diagnosed?</w:t>
      </w:r>
    </w:p>
    <w:p w14:paraId="78C25761" w14:textId="77777777" w:rsidR="00912310" w:rsidRDefault="00B45BB8">
      <w:pPr>
        <w:pStyle w:val="Compact"/>
        <w:numPr>
          <w:ilvl w:val="0"/>
          <w:numId w:val="4"/>
        </w:numPr>
      </w:pPr>
      <w:r>
        <w:t>Review of symptoms and physical exam</w:t>
      </w:r>
    </w:p>
    <w:p w14:paraId="3C426B3C" w14:textId="77777777" w:rsidR="00FD7DCD" w:rsidRDefault="00B45BB8">
      <w:pPr>
        <w:pStyle w:val="Compact"/>
        <w:numPr>
          <w:ilvl w:val="0"/>
          <w:numId w:val="4"/>
        </w:numPr>
      </w:pPr>
      <w:r>
        <w:rPr>
          <w:b/>
          <w:bCs/>
        </w:rPr>
        <w:t>X-rays</w:t>
      </w:r>
      <w:r>
        <w:t xml:space="preserve"> showing cartilage loss, joint narrowing, or bone spurs </w:t>
      </w:r>
    </w:p>
    <w:p w14:paraId="529F1395" w14:textId="766C854A" w:rsidR="00912310" w:rsidRDefault="00B45BB8">
      <w:pPr>
        <w:pStyle w:val="Compact"/>
        <w:numPr>
          <w:ilvl w:val="0"/>
          <w:numId w:val="4"/>
        </w:numPr>
      </w:pPr>
      <w:r>
        <w:lastRenderedPageBreak/>
        <w:t>Advanced imaging is rarely needed.</w:t>
      </w:r>
    </w:p>
    <w:p w14:paraId="263C3DA6" w14:textId="341405DA" w:rsidR="008C6010" w:rsidRDefault="008C6010" w:rsidP="008C6010">
      <w:pPr>
        <w:pStyle w:val="Compact"/>
      </w:pPr>
      <w:r>
        <w:rPr>
          <w:noProof/>
        </w:rPr>
        <w:drawing>
          <wp:inline distT="0" distB="0" distL="0" distR="0" wp14:anchorId="3904195E" wp14:editId="1B21DB59">
            <wp:extent cx="2857500" cy="1905000"/>
            <wp:effectExtent l="0" t="0" r="0" b="0"/>
            <wp:docPr id="572320954" name="Picture 1" descr="OSTEOARTHRITIS FINGER/THUMB (MP, PIP, DIP &amp; IP) | Hand Surgery Re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EOARTHRITIS FINGER/THUMB (MP, PIP, DIP &amp; IP) | Hand Surgery Resour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786" cy="190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F11F9" w14:textId="77777777" w:rsidR="00912310" w:rsidRDefault="00B45BB8">
      <w:pPr>
        <w:pStyle w:val="Heading2"/>
      </w:pPr>
      <w:bookmarkStart w:id="5" w:name="non-surgical-treatment-options"/>
      <w:bookmarkEnd w:id="4"/>
      <w:r>
        <w:t>Non-Surgical Treatment Options</w:t>
      </w:r>
    </w:p>
    <w:p w14:paraId="2C2144F1" w14:textId="77777777" w:rsidR="00912310" w:rsidRDefault="00B45BB8">
      <w:pPr>
        <w:pStyle w:val="FirstParagraph"/>
      </w:pPr>
      <w:r>
        <w:rPr>
          <w:i/>
          <w:iCs/>
        </w:rPr>
        <w:t>(Listed from least invasive to more invasive)</w:t>
      </w:r>
    </w:p>
    <w:p w14:paraId="135E8FF8" w14:textId="77777777" w:rsidR="00912310" w:rsidRDefault="00B45BB8">
      <w:pPr>
        <w:pStyle w:val="Compact"/>
        <w:numPr>
          <w:ilvl w:val="0"/>
          <w:numId w:val="5"/>
        </w:numPr>
      </w:pPr>
      <w:r>
        <w:rPr>
          <w:b/>
          <w:bCs/>
        </w:rPr>
        <w:t>Activity modification</w:t>
      </w:r>
      <w:r>
        <w:t xml:space="preserve"> (avoiding painful gripping or forceful use) – often helps reduce flare-ups.</w:t>
      </w:r>
    </w:p>
    <w:p w14:paraId="2DC5DC56" w14:textId="77777777" w:rsidR="00912310" w:rsidRDefault="00B45BB8">
      <w:pPr>
        <w:pStyle w:val="Compact"/>
        <w:numPr>
          <w:ilvl w:val="0"/>
          <w:numId w:val="5"/>
        </w:numPr>
      </w:pPr>
      <w:r>
        <w:rPr>
          <w:b/>
          <w:bCs/>
        </w:rPr>
        <w:t>Heat or ice</w:t>
      </w:r>
      <w:r>
        <w:t xml:space="preserve"> (heat for stiffness, ice for swelling) – commonly improves comfort.</w:t>
      </w:r>
    </w:p>
    <w:p w14:paraId="1AA28E69" w14:textId="77777777" w:rsidR="00912310" w:rsidRDefault="00B45BB8">
      <w:pPr>
        <w:pStyle w:val="Compact"/>
        <w:numPr>
          <w:ilvl w:val="0"/>
          <w:numId w:val="5"/>
        </w:numPr>
      </w:pPr>
      <w:r>
        <w:rPr>
          <w:b/>
          <w:bCs/>
        </w:rPr>
        <w:t>Oral pain medication</w:t>
      </w:r>
      <w:r>
        <w:t xml:space="preserve"> (acetaminophen or anti-inflammatory medicine, if safe for you) – may reduce pain and inflammation.</w:t>
      </w:r>
    </w:p>
    <w:p w14:paraId="693E0A57" w14:textId="77777777" w:rsidR="00912310" w:rsidRDefault="00B45BB8">
      <w:pPr>
        <w:pStyle w:val="Compact"/>
        <w:numPr>
          <w:ilvl w:val="0"/>
          <w:numId w:val="5"/>
        </w:numPr>
      </w:pPr>
      <w:r>
        <w:rPr>
          <w:b/>
          <w:bCs/>
        </w:rPr>
        <w:t>Topical anti-inflammatory gel</w:t>
      </w:r>
      <w:r>
        <w:t xml:space="preserve"> (applied to the joint) – may help pain with fewer whole-body side effects.</w:t>
      </w:r>
    </w:p>
    <w:p w14:paraId="0C1F8E4A" w14:textId="77777777" w:rsidR="00912310" w:rsidRDefault="00B45BB8">
      <w:pPr>
        <w:pStyle w:val="Compact"/>
        <w:numPr>
          <w:ilvl w:val="0"/>
          <w:numId w:val="5"/>
        </w:numPr>
      </w:pPr>
      <w:r>
        <w:rPr>
          <w:b/>
          <w:bCs/>
        </w:rPr>
        <w:t>Splinting or buddy taping</w:t>
      </w:r>
      <w:r>
        <w:t xml:space="preserve"> (supporting the joint during activities or rest) – may improve comfort and stability.</w:t>
      </w:r>
    </w:p>
    <w:p w14:paraId="31A268D4" w14:textId="77777777" w:rsidR="00912310" w:rsidRDefault="00B45BB8">
      <w:pPr>
        <w:pStyle w:val="Compact"/>
        <w:numPr>
          <w:ilvl w:val="0"/>
          <w:numId w:val="5"/>
        </w:numPr>
      </w:pPr>
      <w:r>
        <w:rPr>
          <w:b/>
          <w:bCs/>
        </w:rPr>
        <w:t>Hand therapy</w:t>
      </w:r>
      <w:r>
        <w:t xml:space="preserve"> (guided exercises and joint protection techniques) – may improve motion and function.</w:t>
      </w:r>
    </w:p>
    <w:p w14:paraId="3E9C4C7B" w14:textId="77777777" w:rsidR="00912310" w:rsidRDefault="00B45BB8">
      <w:pPr>
        <w:pStyle w:val="Compact"/>
        <w:numPr>
          <w:ilvl w:val="0"/>
          <w:numId w:val="5"/>
        </w:numPr>
      </w:pPr>
      <w:r>
        <w:rPr>
          <w:b/>
          <w:bCs/>
        </w:rPr>
        <w:t>Steroid injection</w:t>
      </w:r>
      <w:r>
        <w:t xml:space="preserve"> (medication placed into the joint) – may reduce pain and swelling for </w:t>
      </w:r>
      <w:r>
        <w:rPr>
          <w:b/>
          <w:bCs/>
        </w:rPr>
        <w:t>weeks to months</w:t>
      </w:r>
      <w:r>
        <w:t>; results vary and repeat injections are limited.</w:t>
      </w:r>
    </w:p>
    <w:p w14:paraId="0D2EDEC2" w14:textId="77777777" w:rsidR="00912310" w:rsidRDefault="00B45BB8">
      <w:pPr>
        <w:pStyle w:val="FirstParagraph"/>
      </w:pPr>
      <w:r>
        <w:t>Many patients manage symptoms successfully with these treatments.</w:t>
      </w:r>
    </w:p>
    <w:p w14:paraId="5A24644F" w14:textId="77777777" w:rsidR="00912310" w:rsidRDefault="00B45BB8">
      <w:pPr>
        <w:pStyle w:val="Heading2"/>
      </w:pPr>
      <w:bookmarkStart w:id="6" w:name="surgical-treatment"/>
      <w:bookmarkEnd w:id="5"/>
      <w:r>
        <w:t>Surgical Treatment</w:t>
      </w:r>
    </w:p>
    <w:p w14:paraId="41290E81" w14:textId="77777777" w:rsidR="00912310" w:rsidRDefault="00B45BB8">
      <w:pPr>
        <w:pStyle w:val="FirstParagraph"/>
      </w:pPr>
      <w:r>
        <w:t xml:space="preserve">Surgery may be considered when </w:t>
      </w:r>
      <w:r>
        <w:rPr>
          <w:b/>
          <w:bCs/>
        </w:rPr>
        <w:t xml:space="preserve">pain, stiffness, or deformity </w:t>
      </w:r>
      <w:proofErr w:type="gramStart"/>
      <w:r>
        <w:rPr>
          <w:b/>
          <w:bCs/>
        </w:rPr>
        <w:t>continue</w:t>
      </w:r>
      <w:proofErr w:type="gramEnd"/>
      <w:r>
        <w:rPr>
          <w:b/>
          <w:bCs/>
        </w:rPr>
        <w:t xml:space="preserve"> despite non-surgical care</w:t>
      </w:r>
      <w:r>
        <w:t xml:space="preserve"> and </w:t>
      </w:r>
      <w:proofErr w:type="gramStart"/>
      <w:r>
        <w:t>interfere</w:t>
      </w:r>
      <w:proofErr w:type="gramEnd"/>
      <w:r>
        <w:t xml:space="preserve"> with daily activities.</w:t>
      </w:r>
    </w:p>
    <w:p w14:paraId="5F1E429A" w14:textId="77777777" w:rsidR="00912310" w:rsidRDefault="00B45BB8">
      <w:pPr>
        <w:pStyle w:val="Heading3"/>
      </w:pPr>
      <w:bookmarkStart w:id="7" w:name="common-surgical-options"/>
      <w:r>
        <w:t>Common Surgical Options</w:t>
      </w:r>
    </w:p>
    <w:p w14:paraId="26EE02AF" w14:textId="77777777" w:rsidR="00912310" w:rsidRDefault="00B45BB8">
      <w:pPr>
        <w:pStyle w:val="Compact"/>
        <w:numPr>
          <w:ilvl w:val="0"/>
          <w:numId w:val="6"/>
        </w:numPr>
      </w:pPr>
      <w:r>
        <w:rPr>
          <w:b/>
          <w:bCs/>
        </w:rPr>
        <w:t>PIP Joint Fusion (Arthrodesis)</w:t>
      </w:r>
      <w:r>
        <w:t xml:space="preserve"> – permanently stiffens the joint to eliminate pain; provides a strong, stable finger but no motion at that joint.</w:t>
      </w:r>
    </w:p>
    <w:p w14:paraId="13E9CD44" w14:textId="77777777" w:rsidR="00912310" w:rsidRDefault="00B45BB8">
      <w:pPr>
        <w:pStyle w:val="Compact"/>
        <w:numPr>
          <w:ilvl w:val="0"/>
          <w:numId w:val="6"/>
        </w:numPr>
      </w:pPr>
      <w:r>
        <w:rPr>
          <w:b/>
          <w:bCs/>
        </w:rPr>
        <w:t>PIP Joint Replacement (Arthroplasty)</w:t>
      </w:r>
      <w:r>
        <w:t xml:space="preserve"> – replaces the joint surfaces to reduce pain and preserve some motion; best for select patients, with variable durability.</w:t>
      </w:r>
    </w:p>
    <w:p w14:paraId="0B746D71" w14:textId="77777777" w:rsidR="00912310" w:rsidRDefault="00B45BB8">
      <w:pPr>
        <w:pStyle w:val="Heading2"/>
      </w:pPr>
      <w:bookmarkStart w:id="8" w:name="outlook"/>
      <w:bookmarkEnd w:id="6"/>
      <w:bookmarkEnd w:id="7"/>
      <w:r>
        <w:lastRenderedPageBreak/>
        <w:t>Outlook</w:t>
      </w:r>
    </w:p>
    <w:p w14:paraId="0C974353" w14:textId="77777777" w:rsidR="00912310" w:rsidRDefault="00B45BB8">
      <w:pPr>
        <w:pStyle w:val="Compact"/>
        <w:numPr>
          <w:ilvl w:val="0"/>
          <w:numId w:val="7"/>
        </w:numPr>
      </w:pPr>
      <w:r>
        <w:t>PIP joint arthritis is common and can affect hand function</w:t>
      </w:r>
    </w:p>
    <w:p w14:paraId="21FE6E44" w14:textId="77777777" w:rsidR="00912310" w:rsidRDefault="00B45BB8">
      <w:pPr>
        <w:pStyle w:val="Compact"/>
        <w:numPr>
          <w:ilvl w:val="0"/>
          <w:numId w:val="7"/>
        </w:numPr>
      </w:pPr>
      <w:r>
        <w:t>Symptoms may fluctuate over time</w:t>
      </w:r>
    </w:p>
    <w:p w14:paraId="38D8F980" w14:textId="77777777" w:rsidR="00912310" w:rsidRDefault="00B45BB8">
      <w:pPr>
        <w:pStyle w:val="Compact"/>
        <w:numPr>
          <w:ilvl w:val="0"/>
          <w:numId w:val="7"/>
        </w:numPr>
      </w:pPr>
      <w:r>
        <w:t>Many patients improve with non-surgical treatment</w:t>
      </w:r>
    </w:p>
    <w:p w14:paraId="76E87252" w14:textId="77777777" w:rsidR="00912310" w:rsidRDefault="00B45BB8">
      <w:pPr>
        <w:pStyle w:val="Compact"/>
        <w:numPr>
          <w:ilvl w:val="0"/>
          <w:numId w:val="7"/>
        </w:numPr>
      </w:pPr>
      <w:r>
        <w:t>Surgical treatment, when needed, can significantly reduce pain and improve hand use</w:t>
      </w:r>
      <w:bookmarkEnd w:id="0"/>
      <w:bookmarkEnd w:id="8"/>
    </w:p>
    <w:sectPr w:rsidR="0091231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222773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9424E9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53A7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91738743">
    <w:abstractNumId w:val="0"/>
  </w:num>
  <w:num w:numId="2" w16cid:durableId="1736470990">
    <w:abstractNumId w:val="1"/>
  </w:num>
  <w:num w:numId="3" w16cid:durableId="76680896">
    <w:abstractNumId w:val="1"/>
  </w:num>
  <w:num w:numId="4" w16cid:durableId="534780780">
    <w:abstractNumId w:val="1"/>
  </w:num>
  <w:num w:numId="5" w16cid:durableId="1709917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3973853">
    <w:abstractNumId w:val="1"/>
  </w:num>
  <w:num w:numId="7" w16cid:durableId="429007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10"/>
    <w:rsid w:val="001E284F"/>
    <w:rsid w:val="007516AD"/>
    <w:rsid w:val="008C6010"/>
    <w:rsid w:val="00912310"/>
    <w:rsid w:val="00C36B0D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625F"/>
  <w15:docId w15:val="{07E1879B-1A34-4AA8-AA6A-02344889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2026-01-12T16:35:00Z</dcterms:created>
  <dcterms:modified xsi:type="dcterms:W3CDTF">2026-01-12T16:35:00Z</dcterms:modified>
</cp:coreProperties>
</file>