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EC68" w14:textId="77777777" w:rsidR="00DF6C73" w:rsidRDefault="00000000">
      <w:pPr>
        <w:pStyle w:val="Heading1"/>
      </w:pPr>
      <w:bookmarkStart w:id="0" w:name="nerve-compression-pinched-nerve"/>
      <w:r>
        <w:t>Nerve Compression (Pinched Nerve)</w:t>
      </w:r>
    </w:p>
    <w:p w14:paraId="24352B2C" w14:textId="77777777" w:rsidR="00DF6C73" w:rsidRDefault="00000000">
      <w:pPr>
        <w:pStyle w:val="Heading2"/>
      </w:pPr>
      <w:bookmarkStart w:id="1" w:name="what-is-nerve-compression"/>
      <w:r>
        <w:t>What Is Nerve Compression?</w:t>
      </w:r>
    </w:p>
    <w:p w14:paraId="26C60536" w14:textId="77777777" w:rsidR="00DF6C73" w:rsidRDefault="00000000">
      <w:pPr>
        <w:pStyle w:val="FirstParagraph"/>
      </w:pPr>
      <w:r>
        <w:t xml:space="preserve">Nerves carry feeling and muscle signals between your brain and your arm or hand. </w:t>
      </w:r>
      <w:r>
        <w:rPr>
          <w:b/>
          <w:bCs/>
        </w:rPr>
        <w:t>Nerve compression</w:t>
      </w:r>
      <w:r>
        <w:t xml:space="preserve"> happens when a nerve is squeezed by tight tissue, swelling, bone, or a ligament. This pressure can cause numbness, tingling, pain, burning, or weakness.</w:t>
      </w:r>
    </w:p>
    <w:p w14:paraId="15C2B45F" w14:textId="77777777" w:rsidR="00DF6C73" w:rsidRDefault="00000000">
      <w:pPr>
        <w:pStyle w:val="BodyText"/>
      </w:pPr>
      <w:r>
        <w:t>Symptoms may come and go at first, then become more constant if the pressure continues.</w:t>
      </w:r>
    </w:p>
    <w:p w14:paraId="698E6C7D" w14:textId="77777777" w:rsidR="00DF6C73" w:rsidRDefault="00000000">
      <w:r>
        <w:pict w14:anchorId="440D5EE0">
          <v:rect id="_x0000_i1025" style="width:0;height:1.5pt" o:hralign="center" o:hrstd="t" o:hr="t"/>
        </w:pict>
      </w:r>
    </w:p>
    <w:p w14:paraId="17E4D84C" w14:textId="77777777" w:rsidR="00DF6C73" w:rsidRDefault="00000000">
      <w:pPr>
        <w:pStyle w:val="Heading2"/>
      </w:pPr>
      <w:bookmarkStart w:id="2" w:name="common-symptoms"/>
      <w:bookmarkEnd w:id="1"/>
      <w:r>
        <w:t>Common Symptoms</w:t>
      </w:r>
    </w:p>
    <w:p w14:paraId="414A89C4" w14:textId="77777777" w:rsidR="00DF6C73" w:rsidRDefault="00000000">
      <w:pPr>
        <w:pStyle w:val="Compact"/>
        <w:numPr>
          <w:ilvl w:val="0"/>
          <w:numId w:val="2"/>
        </w:numPr>
      </w:pPr>
      <w:r>
        <w:t>Numbness or tingling in the fingers or hand</w:t>
      </w:r>
    </w:p>
    <w:p w14:paraId="6393F9D8" w14:textId="77777777" w:rsidR="00DF6C73" w:rsidRDefault="00000000">
      <w:pPr>
        <w:pStyle w:val="Compact"/>
        <w:numPr>
          <w:ilvl w:val="0"/>
          <w:numId w:val="2"/>
        </w:numPr>
      </w:pPr>
      <w:r>
        <w:t>Burning or electric-type pain</w:t>
      </w:r>
    </w:p>
    <w:p w14:paraId="3EE4C4E9" w14:textId="77777777" w:rsidR="00DF6C73" w:rsidRDefault="00000000">
      <w:pPr>
        <w:pStyle w:val="Compact"/>
        <w:numPr>
          <w:ilvl w:val="0"/>
          <w:numId w:val="2"/>
        </w:numPr>
      </w:pPr>
      <w:r>
        <w:t>Hand weakness or clumsiness</w:t>
      </w:r>
    </w:p>
    <w:p w14:paraId="6962F8A2" w14:textId="77777777" w:rsidR="00DF6C73" w:rsidRDefault="00000000">
      <w:pPr>
        <w:pStyle w:val="Compact"/>
        <w:numPr>
          <w:ilvl w:val="0"/>
          <w:numId w:val="2"/>
        </w:numPr>
      </w:pPr>
      <w:r>
        <w:t>Symptoms worse at night or with certain activities</w:t>
      </w:r>
    </w:p>
    <w:p w14:paraId="14E93E77" w14:textId="77777777" w:rsidR="00DF6C73" w:rsidRDefault="00000000">
      <w:pPr>
        <w:pStyle w:val="Compact"/>
        <w:numPr>
          <w:ilvl w:val="0"/>
          <w:numId w:val="2"/>
        </w:numPr>
      </w:pPr>
      <w:r>
        <w:t>Dropping objects or difficulty with fine tasks</w:t>
      </w:r>
    </w:p>
    <w:p w14:paraId="704A88C5" w14:textId="77777777" w:rsidR="00927D99" w:rsidRDefault="00927D99" w:rsidP="00927D99">
      <w:pPr>
        <w:pStyle w:val="Compact"/>
      </w:pPr>
    </w:p>
    <w:p w14:paraId="6D9026A1" w14:textId="7490422C" w:rsidR="00927D99" w:rsidRDefault="00927D99" w:rsidP="00927D99">
      <w:pPr>
        <w:pStyle w:val="Compact"/>
      </w:pPr>
      <w:r>
        <w:rPr>
          <w:noProof/>
        </w:rPr>
        <w:drawing>
          <wp:inline distT="0" distB="0" distL="0" distR="0" wp14:anchorId="391820F1" wp14:editId="3EC3679F">
            <wp:extent cx="2314575" cy="1853505"/>
            <wp:effectExtent l="0" t="0" r="0" b="0"/>
            <wp:docPr id="664619122" name="Picture 1" descr="Distinct sensory areas supplied by the hand's nerves.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stinct sensory areas supplied by the hand's nerves. | Download Scientific  Diagra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32395" cy="1867775"/>
                    </a:xfrm>
                    <a:prstGeom prst="rect">
                      <a:avLst/>
                    </a:prstGeom>
                    <a:noFill/>
                    <a:ln>
                      <a:noFill/>
                    </a:ln>
                  </pic:spPr>
                </pic:pic>
              </a:graphicData>
            </a:graphic>
          </wp:inline>
        </w:drawing>
      </w:r>
    </w:p>
    <w:p w14:paraId="530E0604" w14:textId="77777777" w:rsidR="00DF6C73" w:rsidRDefault="00000000">
      <w:r>
        <w:pict w14:anchorId="4FFD976F">
          <v:rect id="_x0000_i1026" style="width:0;height:1.5pt" o:hralign="center" o:hrstd="t" o:hr="t"/>
        </w:pict>
      </w:r>
    </w:p>
    <w:p w14:paraId="5C09966D" w14:textId="77777777" w:rsidR="00DF6C73" w:rsidRDefault="00000000">
      <w:pPr>
        <w:pStyle w:val="Heading2"/>
      </w:pPr>
      <w:bookmarkStart w:id="3" w:name="possible-diagnoses"/>
      <w:bookmarkEnd w:id="2"/>
      <w:r>
        <w:t>Possible Diagnoses</w:t>
      </w:r>
    </w:p>
    <w:p w14:paraId="76DCBEAB" w14:textId="77777777" w:rsidR="00DF6C73" w:rsidRDefault="00000000">
      <w:pPr>
        <w:pStyle w:val="Heading3"/>
      </w:pPr>
      <w:bookmarkStart w:id="4" w:name="carpal-tunnel-syndrome-cts"/>
      <w:r>
        <w:t>Carpal Tunnel Syndrome (CTS)</w:t>
      </w:r>
    </w:p>
    <w:p w14:paraId="0D8B959E" w14:textId="77777777" w:rsidR="00DF6C73" w:rsidRDefault="00000000">
      <w:pPr>
        <w:pStyle w:val="Compact"/>
        <w:numPr>
          <w:ilvl w:val="0"/>
          <w:numId w:val="3"/>
        </w:numPr>
      </w:pPr>
      <w:r>
        <w:rPr>
          <w:b/>
          <w:bCs/>
        </w:rPr>
        <w:t>Most common nerve compression</w:t>
      </w:r>
    </w:p>
    <w:p w14:paraId="3EF78CAA" w14:textId="77777777" w:rsidR="00DF6C73" w:rsidRDefault="00000000">
      <w:pPr>
        <w:pStyle w:val="Compact"/>
        <w:numPr>
          <w:ilvl w:val="0"/>
          <w:numId w:val="3"/>
        </w:numPr>
      </w:pPr>
      <w:r>
        <w:t>The median nerve is pinched at the wrist</w:t>
      </w:r>
    </w:p>
    <w:p w14:paraId="39DC2D6D" w14:textId="77777777" w:rsidR="00DF6C73" w:rsidRDefault="00000000">
      <w:pPr>
        <w:pStyle w:val="Compact"/>
        <w:numPr>
          <w:ilvl w:val="0"/>
          <w:numId w:val="3"/>
        </w:numPr>
      </w:pPr>
      <w:r>
        <w:t xml:space="preserve">Symptoms usually affect the </w:t>
      </w:r>
      <w:r>
        <w:rPr>
          <w:b/>
          <w:bCs/>
        </w:rPr>
        <w:t>thumb, index, middle, and part of the ring finger</w:t>
      </w:r>
    </w:p>
    <w:p w14:paraId="4EC77601" w14:textId="77777777" w:rsidR="00DF6C73" w:rsidRDefault="00000000">
      <w:pPr>
        <w:pStyle w:val="Compact"/>
        <w:numPr>
          <w:ilvl w:val="0"/>
          <w:numId w:val="3"/>
        </w:numPr>
      </w:pPr>
      <w:r>
        <w:t>Often worse at night or with gripping or repetitive use</w:t>
      </w:r>
    </w:p>
    <w:p w14:paraId="5506E22C" w14:textId="77777777" w:rsidR="00DF6C73" w:rsidRDefault="00000000">
      <w:pPr>
        <w:pStyle w:val="FirstParagraph"/>
      </w:pPr>
      <w:r>
        <w:rPr>
          <w:b/>
          <w:bCs/>
        </w:rPr>
        <w:t>How common is CTS?</w:t>
      </w:r>
      <w:r>
        <w:br/>
        <w:t xml:space="preserve">- Affects about </w:t>
      </w:r>
      <w:r>
        <w:rPr>
          <w:b/>
          <w:bCs/>
        </w:rPr>
        <w:t>3–5%</w:t>
      </w:r>
      <w:r>
        <w:t xml:space="preserve"> of adults</w:t>
      </w:r>
    </w:p>
    <w:p w14:paraId="041F9BB6" w14:textId="77777777" w:rsidR="00DF6C73" w:rsidRDefault="00000000">
      <w:pPr>
        <w:pStyle w:val="BodyText"/>
      </w:pPr>
      <w:r>
        <w:rPr>
          <w:b/>
          <w:bCs/>
        </w:rPr>
        <w:lastRenderedPageBreak/>
        <w:t>CTS-6 Criteria (Clinical Screening Tool)</w:t>
      </w:r>
      <w:r>
        <w:br/>
        <w:t>Providers may use the CTS-6 score to estimate the likelihood of carpal tunnel syndrome. It is based on: 1. Numbness in median nerve fingers 2. Night symptoms 3. Thenar (thumb muscle) weakness or muscle loss 4. Positive Phalen test (symptoms with wrist bending) 5. Positive Tinel test (tingling when tapping over the nerve) 6. Decreased two-point discrimination</w:t>
      </w:r>
    </w:p>
    <w:p w14:paraId="4BA553E8" w14:textId="77777777" w:rsidR="00DF6C73" w:rsidRDefault="00000000">
      <w:pPr>
        <w:pStyle w:val="BodyText"/>
      </w:pPr>
      <w:r>
        <w:t>A higher score means CTS is more likely.</w:t>
      </w:r>
    </w:p>
    <w:p w14:paraId="2090CD5D" w14:textId="77777777" w:rsidR="00DF6C73" w:rsidRDefault="00000000">
      <w:r>
        <w:pict w14:anchorId="4EA751EB">
          <v:rect id="_x0000_i1027" style="width:0;height:1.5pt" o:hralign="center" o:hrstd="t" o:hr="t"/>
        </w:pict>
      </w:r>
    </w:p>
    <w:p w14:paraId="6E2339B5" w14:textId="77777777" w:rsidR="00DF6C73" w:rsidRDefault="00000000">
      <w:pPr>
        <w:pStyle w:val="Heading3"/>
      </w:pPr>
      <w:bookmarkStart w:id="5" w:name="cubital-tunnel-syndrome-cuts"/>
      <w:bookmarkEnd w:id="4"/>
      <w:r>
        <w:t>Cubital Tunnel Syndrome (CUTS)</w:t>
      </w:r>
    </w:p>
    <w:p w14:paraId="5869B52F" w14:textId="77777777" w:rsidR="00DF6C73" w:rsidRDefault="00000000">
      <w:pPr>
        <w:pStyle w:val="Compact"/>
        <w:numPr>
          <w:ilvl w:val="0"/>
          <w:numId w:val="4"/>
        </w:numPr>
      </w:pPr>
      <w:r>
        <w:t>The ulnar nerve is compressed at the elbow</w:t>
      </w:r>
    </w:p>
    <w:p w14:paraId="6A58C395" w14:textId="77777777" w:rsidR="00DF6C73" w:rsidRDefault="00000000">
      <w:pPr>
        <w:pStyle w:val="Compact"/>
        <w:numPr>
          <w:ilvl w:val="0"/>
          <w:numId w:val="4"/>
        </w:numPr>
      </w:pPr>
      <w:r>
        <w:t xml:space="preserve">Symptoms usually involve the </w:t>
      </w:r>
      <w:r>
        <w:rPr>
          <w:b/>
          <w:bCs/>
        </w:rPr>
        <w:t>ring and small fingers</w:t>
      </w:r>
    </w:p>
    <w:p w14:paraId="6A542077" w14:textId="77777777" w:rsidR="00DF6C73" w:rsidRDefault="00000000">
      <w:pPr>
        <w:pStyle w:val="Compact"/>
        <w:numPr>
          <w:ilvl w:val="0"/>
          <w:numId w:val="4"/>
        </w:numPr>
      </w:pPr>
      <w:r>
        <w:t>Often worse with elbow bending or leaning on the elbow</w:t>
      </w:r>
    </w:p>
    <w:p w14:paraId="386E604E" w14:textId="77777777" w:rsidR="00DF6C73" w:rsidRDefault="00000000">
      <w:pPr>
        <w:pStyle w:val="FirstParagraph"/>
      </w:pPr>
      <w:r>
        <w:rPr>
          <w:b/>
          <w:bCs/>
        </w:rPr>
        <w:t>How common is CUTS?</w:t>
      </w:r>
      <w:r>
        <w:br/>
        <w:t xml:space="preserve">- Affects about </w:t>
      </w:r>
      <w:r>
        <w:rPr>
          <w:b/>
          <w:bCs/>
        </w:rPr>
        <w:t>0.5–1%</w:t>
      </w:r>
      <w:r>
        <w:t xml:space="preserve"> of adults</w:t>
      </w:r>
    </w:p>
    <w:p w14:paraId="7D715976" w14:textId="77777777" w:rsidR="00DF6C73" w:rsidRDefault="00000000">
      <w:r>
        <w:pict w14:anchorId="03FE80FD">
          <v:rect id="_x0000_i1028" style="width:0;height:1.5pt" o:hralign="center" o:hrstd="t" o:hr="t"/>
        </w:pict>
      </w:r>
    </w:p>
    <w:p w14:paraId="00820EDD" w14:textId="77777777" w:rsidR="00DF6C73" w:rsidRDefault="00000000">
      <w:pPr>
        <w:pStyle w:val="Heading3"/>
      </w:pPr>
      <w:bookmarkStart w:id="6" w:name="cervical-radiculopathy"/>
      <w:bookmarkEnd w:id="5"/>
      <w:r>
        <w:t>Cervical Radiculopathy</w:t>
      </w:r>
    </w:p>
    <w:p w14:paraId="1880E5AA" w14:textId="77777777" w:rsidR="00DF6C73" w:rsidRDefault="00000000">
      <w:pPr>
        <w:pStyle w:val="Compact"/>
        <w:numPr>
          <w:ilvl w:val="0"/>
          <w:numId w:val="5"/>
        </w:numPr>
      </w:pPr>
      <w:r>
        <w:t xml:space="preserve">A nerve is pinched as it exits the </w:t>
      </w:r>
      <w:r>
        <w:rPr>
          <w:b/>
          <w:bCs/>
        </w:rPr>
        <w:t>neck (cervical spine)</w:t>
      </w:r>
    </w:p>
    <w:p w14:paraId="23F77923" w14:textId="77777777" w:rsidR="00DF6C73" w:rsidRDefault="00000000">
      <w:pPr>
        <w:pStyle w:val="Compact"/>
        <w:numPr>
          <w:ilvl w:val="0"/>
          <w:numId w:val="5"/>
        </w:numPr>
      </w:pPr>
      <w:r>
        <w:t>Pain, numbness, or tingling may travel from the neck into the arm or hand</w:t>
      </w:r>
    </w:p>
    <w:p w14:paraId="67EEF28A" w14:textId="77777777" w:rsidR="00DF6C73" w:rsidRDefault="00000000">
      <w:pPr>
        <w:pStyle w:val="Compact"/>
        <w:numPr>
          <w:ilvl w:val="0"/>
          <w:numId w:val="5"/>
        </w:numPr>
      </w:pPr>
      <w:r>
        <w:t>May be associated with neck pain or stiffness</w:t>
      </w:r>
    </w:p>
    <w:p w14:paraId="54DB90E1" w14:textId="77777777" w:rsidR="00DF6C73" w:rsidRDefault="00000000">
      <w:pPr>
        <w:pStyle w:val="FirstParagraph"/>
      </w:pPr>
      <w:r>
        <w:rPr>
          <w:b/>
          <w:bCs/>
        </w:rPr>
        <w:t>How common is cervical radiculopathy?</w:t>
      </w:r>
      <w:r>
        <w:br/>
        <w:t xml:space="preserve">- Occurs in about </w:t>
      </w:r>
      <w:r>
        <w:rPr>
          <w:b/>
          <w:bCs/>
        </w:rPr>
        <w:t>0.1–0.3%</w:t>
      </w:r>
      <w:r>
        <w:t xml:space="preserve"> of adults at a given time</w:t>
      </w:r>
    </w:p>
    <w:p w14:paraId="0651E9C0" w14:textId="77777777" w:rsidR="00DF6C73" w:rsidRDefault="00000000">
      <w:r>
        <w:pict w14:anchorId="55A70A81">
          <v:rect id="_x0000_i1029" style="width:0;height:1.5pt" o:hralign="center" o:hrstd="t" o:hr="t"/>
        </w:pict>
      </w:r>
    </w:p>
    <w:p w14:paraId="0F810E58" w14:textId="77777777" w:rsidR="00DF6C73" w:rsidRDefault="00000000">
      <w:pPr>
        <w:pStyle w:val="Heading3"/>
      </w:pPr>
      <w:bookmarkStart w:id="7" w:name="other-peripheral-nerve-compressions"/>
      <w:bookmarkEnd w:id="6"/>
      <w:r>
        <w:t>Other Peripheral Nerve Compressions</w:t>
      </w:r>
    </w:p>
    <w:p w14:paraId="65100428" w14:textId="77777777" w:rsidR="00DF6C73" w:rsidRDefault="00000000">
      <w:pPr>
        <w:pStyle w:val="FirstParagraph"/>
      </w:pPr>
      <w:r>
        <w:t>Examples include radial tunnel syndrome, pronator syndrome, or Guyon’s canal syndrome.</w:t>
      </w:r>
    </w:p>
    <w:p w14:paraId="327C6998" w14:textId="77777777" w:rsidR="00DF6C73" w:rsidRDefault="00000000">
      <w:pPr>
        <w:pStyle w:val="BodyText"/>
      </w:pPr>
      <w:r>
        <w:rPr>
          <w:b/>
          <w:bCs/>
        </w:rPr>
        <w:t>How common are these?</w:t>
      </w:r>
      <w:r>
        <w:br/>
        <w:t xml:space="preserve">- Each is relatively uncommon, generally </w:t>
      </w:r>
      <w:r>
        <w:rPr>
          <w:b/>
          <w:bCs/>
        </w:rPr>
        <w:t>less than 0.5%</w:t>
      </w:r>
      <w:r>
        <w:t xml:space="preserve"> of adults</w:t>
      </w:r>
    </w:p>
    <w:p w14:paraId="69EBB7BF" w14:textId="77777777" w:rsidR="00DF6C73" w:rsidRDefault="00000000">
      <w:r>
        <w:pict w14:anchorId="044AD13B">
          <v:rect id="_x0000_i1030" style="width:0;height:1.5pt" o:hralign="center" o:hrstd="t" o:hr="t"/>
        </w:pict>
      </w:r>
    </w:p>
    <w:p w14:paraId="12F4F7D3" w14:textId="77777777" w:rsidR="00DF6C73" w:rsidRDefault="00000000">
      <w:pPr>
        <w:pStyle w:val="Heading2"/>
      </w:pPr>
      <w:bookmarkStart w:id="8" w:name="X8b36da43ba399c9deb9c615e4c0d3ea40a4d32a"/>
      <w:bookmarkEnd w:id="3"/>
      <w:bookmarkEnd w:id="7"/>
      <w:r>
        <w:t>Medical Conditions That Affect Nerve Compression</w:t>
      </w:r>
    </w:p>
    <w:p w14:paraId="5AD42088" w14:textId="77777777" w:rsidR="00DF6C73" w:rsidRDefault="00000000">
      <w:pPr>
        <w:pStyle w:val="FirstParagraph"/>
      </w:pPr>
      <w:r>
        <w:t xml:space="preserve">Certain health conditions can make nerves more sensitive or more likely to become compressed: - </w:t>
      </w:r>
      <w:r>
        <w:rPr>
          <w:b/>
          <w:bCs/>
        </w:rPr>
        <w:t>Diabetes</w:t>
      </w:r>
      <w:r>
        <w:t xml:space="preserve"> (most important risk factor) - Thyroid disease - Kidney disease - Rheumatoid or inflammatory arthritis - Pregnancy - Obesity</w:t>
      </w:r>
    </w:p>
    <w:p w14:paraId="16F0FB2B" w14:textId="77777777" w:rsidR="00DF6C73" w:rsidRDefault="00000000">
      <w:pPr>
        <w:pStyle w:val="BodyText"/>
      </w:pPr>
      <w:r>
        <w:lastRenderedPageBreak/>
        <w:t>These conditions may worsen symptoms, slow recovery, and affect treatment success.</w:t>
      </w:r>
    </w:p>
    <w:p w14:paraId="35E05A77" w14:textId="77777777" w:rsidR="00DF6C73" w:rsidRDefault="00000000">
      <w:r>
        <w:pict w14:anchorId="45497A28">
          <v:rect id="_x0000_i1031" style="width:0;height:1.5pt" o:hralign="center" o:hrstd="t" o:hr="t"/>
        </w:pict>
      </w:r>
    </w:p>
    <w:p w14:paraId="7AFB69C2" w14:textId="77777777" w:rsidR="00DF6C73" w:rsidRDefault="00000000">
      <w:pPr>
        <w:pStyle w:val="Heading2"/>
      </w:pPr>
      <w:bookmarkStart w:id="9" w:name="diagnostic-workup"/>
      <w:bookmarkEnd w:id="8"/>
      <w:r>
        <w:t>Diagnostic Workup</w:t>
      </w:r>
    </w:p>
    <w:p w14:paraId="1A153236" w14:textId="77777777" w:rsidR="00DF6C73" w:rsidRDefault="00000000">
      <w:pPr>
        <w:pStyle w:val="Heading3"/>
      </w:pPr>
      <w:bookmarkStart w:id="10" w:name="clinical-examination"/>
      <w:r>
        <w:t>Clinical Examination</w:t>
      </w:r>
    </w:p>
    <w:p w14:paraId="3A340979" w14:textId="77777777" w:rsidR="00DF6C73" w:rsidRDefault="00000000">
      <w:pPr>
        <w:pStyle w:val="Compact"/>
        <w:numPr>
          <w:ilvl w:val="0"/>
          <w:numId w:val="6"/>
        </w:numPr>
      </w:pPr>
      <w:r>
        <w:t>Review of symptoms and sensory pattern</w:t>
      </w:r>
    </w:p>
    <w:p w14:paraId="795C4836" w14:textId="77777777" w:rsidR="00DF6C73" w:rsidRDefault="00000000">
      <w:pPr>
        <w:pStyle w:val="Compact"/>
        <w:numPr>
          <w:ilvl w:val="0"/>
          <w:numId w:val="6"/>
        </w:numPr>
      </w:pPr>
      <w:r>
        <w:t>Strength testing</w:t>
      </w:r>
    </w:p>
    <w:p w14:paraId="644B36FA" w14:textId="77777777" w:rsidR="00DF6C73" w:rsidRDefault="00000000">
      <w:pPr>
        <w:pStyle w:val="Compact"/>
        <w:numPr>
          <w:ilvl w:val="0"/>
          <w:numId w:val="6"/>
        </w:numPr>
      </w:pPr>
      <w:r>
        <w:t>Special nerve tests (including CTS-6 for suspected CTS)</w:t>
      </w:r>
    </w:p>
    <w:p w14:paraId="3488FC4C" w14:textId="77777777" w:rsidR="00DF6C73" w:rsidRDefault="00000000">
      <w:pPr>
        <w:pStyle w:val="Heading3"/>
      </w:pPr>
      <w:bookmarkStart w:id="11" w:name="emg-nerve-conduction-studies-emgncs"/>
      <w:bookmarkEnd w:id="10"/>
      <w:r>
        <w:t>EMG / Nerve Conduction Studies (EMG/NCS)</w:t>
      </w:r>
    </w:p>
    <w:p w14:paraId="0643C388" w14:textId="77777777" w:rsidR="00DF6C73" w:rsidRDefault="00000000">
      <w:pPr>
        <w:pStyle w:val="Compact"/>
        <w:numPr>
          <w:ilvl w:val="0"/>
          <w:numId w:val="7"/>
        </w:numPr>
      </w:pPr>
      <w:r>
        <w:t>Measures how well nerves send electrical signals</w:t>
      </w:r>
    </w:p>
    <w:p w14:paraId="70B0FCAA" w14:textId="77777777" w:rsidR="00DF6C73" w:rsidRDefault="00000000">
      <w:pPr>
        <w:pStyle w:val="Compact"/>
        <w:numPr>
          <w:ilvl w:val="0"/>
          <w:numId w:val="7"/>
        </w:numPr>
      </w:pPr>
      <w:r>
        <w:t>Helps confirm the diagnosis and determine severity</w:t>
      </w:r>
    </w:p>
    <w:p w14:paraId="50D9F1CE" w14:textId="77777777" w:rsidR="00DF6C73" w:rsidRDefault="00000000">
      <w:pPr>
        <w:pStyle w:val="Compact"/>
        <w:numPr>
          <w:ilvl w:val="0"/>
          <w:numId w:val="7"/>
        </w:numPr>
      </w:pPr>
      <w:r>
        <w:t>Useful when symptoms are unclear or more than one nerve may be involved</w:t>
      </w:r>
    </w:p>
    <w:p w14:paraId="541E42FA" w14:textId="77777777" w:rsidR="00DF6C73" w:rsidRDefault="00000000">
      <w:pPr>
        <w:pStyle w:val="Heading3"/>
      </w:pPr>
      <w:bookmarkStart w:id="12" w:name="ultrasound"/>
      <w:bookmarkEnd w:id="11"/>
      <w:r>
        <w:t>Ultrasound</w:t>
      </w:r>
    </w:p>
    <w:p w14:paraId="27FC542D" w14:textId="77777777" w:rsidR="00DF6C73" w:rsidRDefault="00000000">
      <w:pPr>
        <w:pStyle w:val="Compact"/>
        <w:numPr>
          <w:ilvl w:val="0"/>
          <w:numId w:val="8"/>
        </w:numPr>
      </w:pPr>
      <w:r>
        <w:t>Shows nerve size and swelling</w:t>
      </w:r>
    </w:p>
    <w:p w14:paraId="163616A5" w14:textId="77777777" w:rsidR="00DF6C73" w:rsidRDefault="00000000">
      <w:pPr>
        <w:pStyle w:val="Compact"/>
        <w:numPr>
          <w:ilvl w:val="0"/>
          <w:numId w:val="8"/>
        </w:numPr>
      </w:pPr>
      <w:r>
        <w:t>Can identify areas of compression, scarring, or masses</w:t>
      </w:r>
    </w:p>
    <w:p w14:paraId="340F78AE" w14:textId="77777777" w:rsidR="00DF6C73" w:rsidRDefault="00000000">
      <w:pPr>
        <w:pStyle w:val="Compact"/>
        <w:numPr>
          <w:ilvl w:val="0"/>
          <w:numId w:val="8"/>
        </w:numPr>
      </w:pPr>
      <w:r>
        <w:t>Painless and quick</w:t>
      </w:r>
    </w:p>
    <w:p w14:paraId="509582A7" w14:textId="77777777" w:rsidR="00DF6C73" w:rsidRDefault="00000000">
      <w:pPr>
        <w:pStyle w:val="Compact"/>
        <w:numPr>
          <w:ilvl w:val="0"/>
          <w:numId w:val="8"/>
        </w:numPr>
      </w:pPr>
      <w:r>
        <w:t>Commonly used for carpal tunnel syndrome and other compressive neuropathies</w:t>
      </w:r>
    </w:p>
    <w:p w14:paraId="12C21989" w14:textId="77777777" w:rsidR="00DF6C73" w:rsidRDefault="00000000">
      <w:r>
        <w:pict w14:anchorId="2EE03370">
          <v:rect id="_x0000_i1032" style="width:0;height:1.5pt" o:hralign="center" o:hrstd="t" o:hr="t"/>
        </w:pict>
      </w:r>
    </w:p>
    <w:p w14:paraId="3B5A6095" w14:textId="77777777" w:rsidR="00DF6C73" w:rsidRDefault="00000000">
      <w:pPr>
        <w:pStyle w:val="Heading2"/>
      </w:pPr>
      <w:bookmarkStart w:id="13" w:name="initial-non-surgical-treatment-options"/>
      <w:bookmarkEnd w:id="9"/>
      <w:bookmarkEnd w:id="12"/>
      <w:r>
        <w:t>Initial Non-Surgical Treatment Options</w:t>
      </w:r>
    </w:p>
    <w:p w14:paraId="1537F65E" w14:textId="77777777" w:rsidR="00DF6C73" w:rsidRDefault="00000000">
      <w:pPr>
        <w:pStyle w:val="FirstParagraph"/>
      </w:pPr>
      <w:r>
        <w:t>Treatment usually starts conservatively and depends on the suspected diagnosis.</w:t>
      </w:r>
    </w:p>
    <w:p w14:paraId="1EF33D81" w14:textId="77777777" w:rsidR="00DF6C73" w:rsidRDefault="00000000">
      <w:pPr>
        <w:pStyle w:val="Heading3"/>
      </w:pPr>
      <w:bookmarkStart w:id="14" w:name="activity-modification"/>
      <w:r>
        <w:t>Activity Modification</w:t>
      </w:r>
    </w:p>
    <w:p w14:paraId="748B5108" w14:textId="77777777" w:rsidR="00DF6C73" w:rsidRDefault="00000000">
      <w:pPr>
        <w:pStyle w:val="Compact"/>
        <w:numPr>
          <w:ilvl w:val="0"/>
          <w:numId w:val="9"/>
        </w:numPr>
      </w:pPr>
      <w:r>
        <w:t>Avoid prolonged gripping, pressure, or repetitive motion</w:t>
      </w:r>
    </w:p>
    <w:p w14:paraId="1FB09193" w14:textId="77777777" w:rsidR="00DF6C73" w:rsidRDefault="00000000">
      <w:pPr>
        <w:pStyle w:val="Compact"/>
        <w:numPr>
          <w:ilvl w:val="0"/>
          <w:numId w:val="9"/>
        </w:numPr>
      </w:pPr>
      <w:r>
        <w:t>Often helps reduce symptoms</w:t>
      </w:r>
    </w:p>
    <w:p w14:paraId="53CD7D02" w14:textId="77777777" w:rsidR="00DF6C73" w:rsidRDefault="00000000">
      <w:pPr>
        <w:pStyle w:val="Heading3"/>
      </w:pPr>
      <w:bookmarkStart w:id="15" w:name="bracing-or-splinting"/>
      <w:bookmarkEnd w:id="14"/>
      <w:r>
        <w:t>Bracing or Splinting</w:t>
      </w:r>
    </w:p>
    <w:p w14:paraId="0D418FF2" w14:textId="77777777" w:rsidR="00DF6C73" w:rsidRDefault="00000000">
      <w:pPr>
        <w:pStyle w:val="Compact"/>
        <w:numPr>
          <w:ilvl w:val="0"/>
          <w:numId w:val="10"/>
        </w:numPr>
      </w:pPr>
      <w:r>
        <w:t>Wrist splint for CTS or elbow splint for CUTS</w:t>
      </w:r>
    </w:p>
    <w:p w14:paraId="273BDEB4" w14:textId="77777777" w:rsidR="00DF6C73" w:rsidRDefault="00000000">
      <w:pPr>
        <w:pStyle w:val="Compact"/>
        <w:numPr>
          <w:ilvl w:val="0"/>
          <w:numId w:val="10"/>
        </w:numPr>
      </w:pPr>
      <w:r>
        <w:t>Keeps the nerve in a relaxed position</w:t>
      </w:r>
    </w:p>
    <w:p w14:paraId="3EDB642D" w14:textId="77777777" w:rsidR="00DF6C73" w:rsidRDefault="00000000">
      <w:pPr>
        <w:pStyle w:val="Compact"/>
        <w:numPr>
          <w:ilvl w:val="0"/>
          <w:numId w:val="10"/>
        </w:numPr>
      </w:pPr>
      <w:r>
        <w:t>Often improves nighttime symptoms</w:t>
      </w:r>
    </w:p>
    <w:p w14:paraId="019EE273" w14:textId="77777777" w:rsidR="00DF6C73" w:rsidRDefault="00000000">
      <w:pPr>
        <w:pStyle w:val="Heading3"/>
      </w:pPr>
      <w:bookmarkStart w:id="16" w:name="medications"/>
      <w:bookmarkEnd w:id="15"/>
      <w:r>
        <w:t>Medications</w:t>
      </w:r>
    </w:p>
    <w:p w14:paraId="47620FEC" w14:textId="77777777" w:rsidR="00DF6C73" w:rsidRDefault="00000000">
      <w:pPr>
        <w:pStyle w:val="Compact"/>
        <w:numPr>
          <w:ilvl w:val="0"/>
          <w:numId w:val="11"/>
        </w:numPr>
      </w:pPr>
      <w:r>
        <w:t>Anti-inflammatory medications when appropriate</w:t>
      </w:r>
    </w:p>
    <w:p w14:paraId="1809A8C7" w14:textId="77777777" w:rsidR="00DF6C73" w:rsidRDefault="00000000">
      <w:pPr>
        <w:pStyle w:val="Compact"/>
        <w:numPr>
          <w:ilvl w:val="0"/>
          <w:numId w:val="11"/>
        </w:numPr>
      </w:pPr>
      <w:r>
        <w:t>May help reduce pain and swelling</w:t>
      </w:r>
    </w:p>
    <w:p w14:paraId="459CA9A4" w14:textId="77777777" w:rsidR="00DF6C73" w:rsidRDefault="00000000">
      <w:pPr>
        <w:pStyle w:val="Heading3"/>
      </w:pPr>
      <w:bookmarkStart w:id="17" w:name="steroid-injection"/>
      <w:bookmarkEnd w:id="16"/>
      <w:r>
        <w:t>Steroid Injection</w:t>
      </w:r>
    </w:p>
    <w:p w14:paraId="2624E022" w14:textId="77777777" w:rsidR="00DF6C73" w:rsidRDefault="00000000">
      <w:pPr>
        <w:pStyle w:val="Compact"/>
        <w:numPr>
          <w:ilvl w:val="0"/>
          <w:numId w:val="12"/>
        </w:numPr>
      </w:pPr>
      <w:r>
        <w:t>Can reduce nerve inflammation</w:t>
      </w:r>
    </w:p>
    <w:p w14:paraId="6FB72CE0" w14:textId="77777777" w:rsidR="00DF6C73" w:rsidRDefault="00000000">
      <w:pPr>
        <w:pStyle w:val="Compact"/>
        <w:numPr>
          <w:ilvl w:val="0"/>
          <w:numId w:val="12"/>
        </w:numPr>
      </w:pPr>
      <w:r>
        <w:lastRenderedPageBreak/>
        <w:t xml:space="preserve">Relief often lasts </w:t>
      </w:r>
      <w:r>
        <w:rPr>
          <w:b/>
          <w:bCs/>
        </w:rPr>
        <w:t>weeks to months</w:t>
      </w:r>
    </w:p>
    <w:p w14:paraId="614173E0" w14:textId="77777777" w:rsidR="00DF6C73" w:rsidRDefault="00000000">
      <w:pPr>
        <w:pStyle w:val="Compact"/>
        <w:numPr>
          <w:ilvl w:val="0"/>
          <w:numId w:val="12"/>
        </w:numPr>
      </w:pPr>
      <w:r>
        <w:t>Results vary based on severity and medical conditions</w:t>
      </w:r>
    </w:p>
    <w:p w14:paraId="270744CC" w14:textId="77777777" w:rsidR="00DF6C73" w:rsidRDefault="00000000">
      <w:pPr>
        <w:pStyle w:val="Heading3"/>
      </w:pPr>
      <w:bookmarkStart w:id="18" w:name="nerve-specific-exercises"/>
      <w:bookmarkEnd w:id="17"/>
      <w:r>
        <w:t>Nerve-Specific Exercises</w:t>
      </w:r>
    </w:p>
    <w:p w14:paraId="5CE71994" w14:textId="77777777" w:rsidR="00DF6C73" w:rsidRDefault="00000000">
      <w:pPr>
        <w:pStyle w:val="Compact"/>
        <w:numPr>
          <w:ilvl w:val="0"/>
          <w:numId w:val="13"/>
        </w:numPr>
      </w:pPr>
      <w:r>
        <w:t>Gentle nerve gliding or stretching</w:t>
      </w:r>
    </w:p>
    <w:p w14:paraId="28CD29F2" w14:textId="77777777" w:rsidR="00DF6C73" w:rsidRDefault="00000000">
      <w:pPr>
        <w:pStyle w:val="Compact"/>
        <w:numPr>
          <w:ilvl w:val="0"/>
          <w:numId w:val="13"/>
        </w:numPr>
      </w:pPr>
      <w:r>
        <w:t>May improve comfort and motion in some patients</w:t>
      </w:r>
    </w:p>
    <w:p w14:paraId="61CEE0F5" w14:textId="77777777" w:rsidR="00DF6C73" w:rsidRDefault="00000000">
      <w:r>
        <w:pict w14:anchorId="6A222088">
          <v:rect id="_x0000_i1033" style="width:0;height:1.5pt" o:hralign="center" o:hrstd="t" o:hr="t"/>
        </w:pict>
      </w:r>
    </w:p>
    <w:p w14:paraId="5899121C" w14:textId="77777777" w:rsidR="00DF6C73" w:rsidRDefault="00000000">
      <w:pPr>
        <w:pStyle w:val="Heading2"/>
      </w:pPr>
      <w:bookmarkStart w:id="19" w:name="when-to-consider-further-treatment"/>
      <w:bookmarkEnd w:id="13"/>
      <w:bookmarkEnd w:id="18"/>
      <w:r>
        <w:t>When to Consider Further Treatment</w:t>
      </w:r>
    </w:p>
    <w:p w14:paraId="0358A6B9" w14:textId="77777777" w:rsidR="00DF6C73" w:rsidRDefault="00000000">
      <w:pPr>
        <w:pStyle w:val="FirstParagraph"/>
      </w:pPr>
      <w:r>
        <w:t>If symptoms persist, worsen, or cause weakness or muscle loss, further testing or surgical options may be discussed to protect nerve function and improve quality of life.</w:t>
      </w:r>
    </w:p>
    <w:bookmarkEnd w:id="0"/>
    <w:bookmarkEnd w:id="19"/>
    <w:p w14:paraId="67B5C9D8" w14:textId="05A6E365" w:rsidR="00DF6C73" w:rsidRDefault="00DF6C73">
      <w:pPr>
        <w:pStyle w:val="FirstParagraph"/>
      </w:pPr>
    </w:p>
    <w:sectPr w:rsidR="00DF6C73">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EBA22C7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3BA8F67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649627521">
    <w:abstractNumId w:val="0"/>
  </w:num>
  <w:num w:numId="2" w16cid:durableId="1314800748">
    <w:abstractNumId w:val="1"/>
  </w:num>
  <w:num w:numId="3" w16cid:durableId="274481723">
    <w:abstractNumId w:val="1"/>
  </w:num>
  <w:num w:numId="4" w16cid:durableId="472065319">
    <w:abstractNumId w:val="1"/>
  </w:num>
  <w:num w:numId="5" w16cid:durableId="1279675788">
    <w:abstractNumId w:val="1"/>
  </w:num>
  <w:num w:numId="6" w16cid:durableId="753598747">
    <w:abstractNumId w:val="1"/>
  </w:num>
  <w:num w:numId="7" w16cid:durableId="751122945">
    <w:abstractNumId w:val="1"/>
  </w:num>
  <w:num w:numId="8" w16cid:durableId="1415782018">
    <w:abstractNumId w:val="1"/>
  </w:num>
  <w:num w:numId="9" w16cid:durableId="467287422">
    <w:abstractNumId w:val="1"/>
  </w:num>
  <w:num w:numId="10" w16cid:durableId="393430954">
    <w:abstractNumId w:val="1"/>
  </w:num>
  <w:num w:numId="11" w16cid:durableId="625817638">
    <w:abstractNumId w:val="1"/>
  </w:num>
  <w:num w:numId="12" w16cid:durableId="696345962">
    <w:abstractNumId w:val="1"/>
  </w:num>
  <w:num w:numId="13" w16cid:durableId="18402708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C73"/>
    <w:rsid w:val="00110790"/>
    <w:rsid w:val="005916DD"/>
    <w:rsid w:val="00927D99"/>
    <w:rsid w:val="00DF6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E2E36"/>
  <w15:docId w15:val="{76D22E68-8579-477A-A3B2-6899E756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623</Words>
  <Characters>3324</Characters>
  <Application>Microsoft Office Word</Application>
  <DocSecurity>0</DocSecurity>
  <Lines>123</Lines>
  <Paragraphs>77</Paragraphs>
  <ScaleCrop>false</ScaleCrop>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Arjun Dhayalan, MD</dc:creator>
  <cp:keywords/>
  <cp:lastModifiedBy>Arjun Dhayalan, MD</cp:lastModifiedBy>
  <cp:revision>3</cp:revision>
  <dcterms:created xsi:type="dcterms:W3CDTF">2026-01-27T20:09:00Z</dcterms:created>
  <dcterms:modified xsi:type="dcterms:W3CDTF">2026-01-27T20:36:00Z</dcterms:modified>
</cp:coreProperties>
</file>