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651D1C" w:rsidRPr="004B154A" w14:paraId="56174BB2" w14:textId="77777777" w:rsidTr="004271F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5BE0BF4" w14:textId="77777777" w:rsidR="00651D1C" w:rsidRPr="004B154A" w:rsidRDefault="00651D1C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metacarpal-fractures"/>
            <w:r w:rsidRPr="004B154A">
              <w:rPr>
                <w:rFonts w:ascii="Proxima Nova" w:hAnsi="Proxima Nova"/>
                <w:noProof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74E535B6" wp14:editId="184A750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76DD7EE8" w14:textId="77777777" w:rsidR="00651D1C" w:rsidRPr="004B154A" w:rsidRDefault="00651D1C" w:rsidP="004271FA">
            <w:pPr>
              <w:jc w:val="center"/>
              <w:rPr>
                <w:rFonts w:ascii="Proxima Nova" w:hAnsi="Proxima Nova"/>
              </w:rPr>
            </w:pPr>
          </w:p>
          <w:p w14:paraId="2A5A805F" w14:textId="77777777" w:rsidR="00651D1C" w:rsidRPr="004B154A" w:rsidRDefault="00651D1C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6CFB7A2D" w14:textId="77777777" w:rsidR="00651D1C" w:rsidRPr="004B154A" w:rsidRDefault="00651D1C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068AFCFF" w14:textId="77777777" w:rsidR="00651D1C" w:rsidRPr="004B154A" w:rsidRDefault="00651D1C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1D1884CD" w14:textId="77777777" w:rsidR="00651D1C" w:rsidRPr="004B154A" w:rsidRDefault="00651D1C" w:rsidP="004271FA">
            <w:pPr>
              <w:jc w:val="right"/>
              <w:rPr>
                <w:rFonts w:ascii="Proxima Nova" w:hAnsi="Proxima Nova"/>
              </w:rPr>
            </w:pPr>
          </w:p>
          <w:p w14:paraId="50AB6EDC" w14:textId="77777777" w:rsidR="00651D1C" w:rsidRPr="004B154A" w:rsidRDefault="00651D1C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5BC8C536" w14:textId="77777777" w:rsidR="00651D1C" w:rsidRPr="004B154A" w:rsidRDefault="00651D1C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404299E9" w14:textId="77777777" w:rsidR="00651D1C" w:rsidRPr="004B154A" w:rsidRDefault="00651D1C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56BFD383" w14:textId="77777777" w:rsidR="00651D1C" w:rsidRPr="0068159B" w:rsidRDefault="00651D1C" w:rsidP="00651D1C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580BBF7D" w14:textId="1F619222" w:rsidR="00651D1C" w:rsidRPr="00651D1C" w:rsidRDefault="00651D1C">
      <w:pPr>
        <w:pStyle w:val="Heading1"/>
      </w:pPr>
      <w:r>
        <w:rPr>
          <w:b/>
          <w:bCs/>
          <w:color w:val="003462"/>
          <w:sz w:val="32"/>
          <w:szCs w:val="32"/>
        </w:rPr>
        <w:t>Metacarpal Fractures:</w:t>
      </w:r>
      <w:r>
        <w:rPr>
          <w:b/>
          <w:bCs/>
          <w:color w:val="003462"/>
          <w:sz w:val="32"/>
          <w:szCs w:val="32"/>
        </w:rPr>
        <w:t xml:space="preserve"> </w:t>
      </w:r>
      <w:r w:rsidRPr="004B154A">
        <w:rPr>
          <w:b/>
          <w:bCs/>
          <w:color w:val="003462"/>
          <w:sz w:val="32"/>
          <w:szCs w:val="32"/>
        </w:rPr>
        <w:t>Patient Education Sheet</w:t>
      </w:r>
    </w:p>
    <w:p w14:paraId="7E352DEA" w14:textId="77777777" w:rsidR="00CF3D84" w:rsidRDefault="00C7219B">
      <w:pPr>
        <w:pStyle w:val="Heading2"/>
      </w:pPr>
      <w:bookmarkStart w:id="1" w:name="what-is-a-metacarpal-fracture"/>
      <w:r>
        <w:t>What Is a Metacarpal Fracture?</w:t>
      </w:r>
    </w:p>
    <w:p w14:paraId="592F6F27" w14:textId="77777777" w:rsidR="00CF3D84" w:rsidRDefault="00C7219B">
      <w:pPr>
        <w:pStyle w:val="FirstParagraph"/>
      </w:pPr>
      <w:r>
        <w:t xml:space="preserve">A </w:t>
      </w:r>
      <w:r>
        <w:rPr>
          <w:b/>
          <w:bCs/>
        </w:rPr>
        <w:t>metacarpal fracture</w:t>
      </w:r>
      <w:r>
        <w:t xml:space="preserve"> is a break in one of the long bones of the hand that connect the wrist to the fingers. These injuries commonly occur from falls, sports, or direct blows to the hand.</w:t>
      </w:r>
    </w:p>
    <w:p w14:paraId="0BC822D5" w14:textId="77777777" w:rsidR="00CF3D84" w:rsidRDefault="00C7219B">
      <w:pPr>
        <w:pStyle w:val="BodyText"/>
      </w:pPr>
      <w:r>
        <w:rPr>
          <w:i/>
          <w:iCs/>
        </w:rPr>
        <w:t xml:space="preserve">This handout focuses on metacarpal fractures </w:t>
      </w:r>
      <w:r>
        <w:rPr>
          <w:b/>
          <w:bCs/>
          <w:i/>
          <w:iCs/>
        </w:rPr>
        <w:t>excluding boxer’s fractures</w:t>
      </w:r>
      <w:r>
        <w:t xml:space="preserve"> (fractures of the small finger metacarpal neck), which are managed somewhat differently.</w:t>
      </w:r>
    </w:p>
    <w:p w14:paraId="17ECFBEE" w14:textId="77777777" w:rsidR="00CF3D84" w:rsidRDefault="00C7219B">
      <w:pPr>
        <w:pStyle w:val="BodyText"/>
      </w:pPr>
      <w:r>
        <w:t xml:space="preserve">The goal of treatment is to allow the bone to heal in good alignment while </w:t>
      </w:r>
      <w:r>
        <w:rPr>
          <w:b/>
          <w:bCs/>
        </w:rPr>
        <w:t>preventing stiffness</w:t>
      </w:r>
      <w:r>
        <w:t xml:space="preserve"> and restoring hand function.</w:t>
      </w:r>
    </w:p>
    <w:p w14:paraId="68EB7732" w14:textId="27AAB06E" w:rsidR="001D3DED" w:rsidRDefault="001D3DED">
      <w:pPr>
        <w:pStyle w:val="BodyText"/>
      </w:pPr>
      <w:r>
        <w:rPr>
          <w:noProof/>
        </w:rPr>
        <w:drawing>
          <wp:inline distT="0" distB="0" distL="0" distR="0" wp14:anchorId="19E54791" wp14:editId="2E8461DA">
            <wp:extent cx="2857500" cy="2857500"/>
            <wp:effectExtent l="0" t="0" r="0" b="0"/>
            <wp:docPr id="2127190581" name="Picture 1" descr="Metacarpal Fractures - Physi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tacarpal Fractures - Physio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95ED" w14:textId="77777777" w:rsidR="00CF3D84" w:rsidRDefault="00C7219B">
      <w:r>
        <w:pict w14:anchorId="5C2ED0EF">
          <v:rect id="_x0000_i1025" style="width:0;height:1.5pt" o:hralign="center" o:hrstd="t" o:hr="t"/>
        </w:pict>
      </w:r>
    </w:p>
    <w:p w14:paraId="2E499557" w14:textId="77777777" w:rsidR="00CF3D84" w:rsidRDefault="00C7219B">
      <w:pPr>
        <w:pStyle w:val="Heading2"/>
      </w:pPr>
      <w:bookmarkStart w:id="2" w:name="common-symptoms"/>
      <w:bookmarkEnd w:id="1"/>
      <w:r>
        <w:lastRenderedPageBreak/>
        <w:t>Common Symptoms</w:t>
      </w:r>
    </w:p>
    <w:p w14:paraId="57F30857" w14:textId="77777777" w:rsidR="00CF3D84" w:rsidRDefault="00C7219B">
      <w:pPr>
        <w:pStyle w:val="Compact"/>
        <w:numPr>
          <w:ilvl w:val="0"/>
          <w:numId w:val="2"/>
        </w:numPr>
      </w:pPr>
      <w:r>
        <w:t>Pain and swelling in the hand</w:t>
      </w:r>
      <w:r>
        <w:br/>
      </w:r>
    </w:p>
    <w:p w14:paraId="2193D45D" w14:textId="77777777" w:rsidR="00CF3D84" w:rsidRDefault="00C7219B">
      <w:pPr>
        <w:pStyle w:val="Compact"/>
        <w:numPr>
          <w:ilvl w:val="0"/>
          <w:numId w:val="2"/>
        </w:numPr>
      </w:pPr>
      <w:r>
        <w:t>Bruising or deformity</w:t>
      </w:r>
      <w:r>
        <w:br/>
      </w:r>
    </w:p>
    <w:p w14:paraId="3F46B6B2" w14:textId="77777777" w:rsidR="00CF3D84" w:rsidRDefault="00C7219B">
      <w:pPr>
        <w:pStyle w:val="Compact"/>
        <w:numPr>
          <w:ilvl w:val="0"/>
          <w:numId w:val="2"/>
        </w:numPr>
      </w:pPr>
      <w:r>
        <w:t>Pain with gripping or making a fist</w:t>
      </w:r>
      <w:r>
        <w:br/>
      </w:r>
    </w:p>
    <w:p w14:paraId="16DBAC60" w14:textId="77777777" w:rsidR="00CF3D84" w:rsidRDefault="00C7219B">
      <w:pPr>
        <w:pStyle w:val="Compact"/>
        <w:numPr>
          <w:ilvl w:val="0"/>
          <w:numId w:val="2"/>
        </w:numPr>
      </w:pPr>
      <w:r>
        <w:t>Limited finger motion</w:t>
      </w:r>
    </w:p>
    <w:p w14:paraId="04708CF6" w14:textId="77777777" w:rsidR="00CF3D84" w:rsidRDefault="00C7219B">
      <w:r>
        <w:pict w14:anchorId="0B124E99">
          <v:rect id="_x0000_i1026" style="width:0;height:1.5pt" o:hralign="center" o:hrstd="t" o:hr="t"/>
        </w:pict>
      </w:r>
    </w:p>
    <w:p w14:paraId="6CDC61AD" w14:textId="77777777" w:rsidR="00CF3D84" w:rsidRDefault="00C7219B">
      <w:pPr>
        <w:pStyle w:val="Heading2"/>
      </w:pPr>
      <w:bookmarkStart w:id="3" w:name="goals-of-treatment"/>
      <w:bookmarkEnd w:id="2"/>
      <w:r>
        <w:t>Goals of Treatment</w:t>
      </w:r>
    </w:p>
    <w:p w14:paraId="5D9C1F69" w14:textId="77777777" w:rsidR="00CF3D84" w:rsidRDefault="00C7219B">
      <w:pPr>
        <w:pStyle w:val="Compact"/>
        <w:numPr>
          <w:ilvl w:val="0"/>
          <w:numId w:val="3"/>
        </w:numPr>
      </w:pPr>
      <w:r>
        <w:t>Allow the fracture to heal safely</w:t>
      </w:r>
      <w:r>
        <w:br/>
      </w:r>
    </w:p>
    <w:p w14:paraId="496DD8D5" w14:textId="77777777" w:rsidR="00CF3D84" w:rsidRDefault="00C7219B">
      <w:pPr>
        <w:pStyle w:val="Compact"/>
        <w:numPr>
          <w:ilvl w:val="0"/>
          <w:numId w:val="3"/>
        </w:numPr>
      </w:pPr>
      <w:r>
        <w:t>Maintain proper finger alignment and rotation</w:t>
      </w:r>
      <w:r>
        <w:br/>
      </w:r>
    </w:p>
    <w:p w14:paraId="16244D7B" w14:textId="77777777" w:rsidR="00CF3D84" w:rsidRDefault="00C7219B">
      <w:pPr>
        <w:pStyle w:val="Compact"/>
        <w:numPr>
          <w:ilvl w:val="0"/>
          <w:numId w:val="3"/>
        </w:numPr>
      </w:pPr>
      <w:r>
        <w:t>Restore motion and strength</w:t>
      </w:r>
      <w:r>
        <w:br/>
      </w:r>
    </w:p>
    <w:p w14:paraId="09BD22F5" w14:textId="77777777" w:rsidR="00CF3D84" w:rsidRDefault="00C7219B">
      <w:pPr>
        <w:pStyle w:val="Compact"/>
        <w:numPr>
          <w:ilvl w:val="0"/>
          <w:numId w:val="3"/>
        </w:numPr>
      </w:pPr>
      <w:r>
        <w:t>Avoid long-term stiffness</w:t>
      </w:r>
    </w:p>
    <w:p w14:paraId="37F2B81E" w14:textId="77777777" w:rsidR="00CF3D84" w:rsidRDefault="00C7219B">
      <w:r>
        <w:pict w14:anchorId="585DFB07">
          <v:rect id="_x0000_i1027" style="width:0;height:1.5pt" o:hralign="center" o:hrstd="t" o:hr="t"/>
        </w:pict>
      </w:r>
    </w:p>
    <w:p w14:paraId="758E29B1" w14:textId="77777777" w:rsidR="00CF3D84" w:rsidRDefault="00C7219B">
      <w:pPr>
        <w:pStyle w:val="Heading2"/>
      </w:pPr>
      <w:bookmarkStart w:id="4" w:name="non-surgical-treatment-options"/>
      <w:bookmarkEnd w:id="3"/>
      <w:r>
        <w:rPr>
          <w:b/>
          <w:bCs/>
        </w:rPr>
        <w:t>Non-Surgical Treatment Options</w:t>
      </w:r>
    </w:p>
    <w:p w14:paraId="69E2607D" w14:textId="77777777" w:rsidR="00CF3D84" w:rsidRDefault="00C7219B">
      <w:pPr>
        <w:pStyle w:val="FirstParagraph"/>
      </w:pPr>
      <w:r>
        <w:rPr>
          <w:i/>
          <w:iCs/>
        </w:rPr>
        <w:t>(Used when the fracture is stable and well aligned)</w:t>
      </w:r>
    </w:p>
    <w:p w14:paraId="2C9C788C" w14:textId="77777777" w:rsidR="00CF3D84" w:rsidRDefault="00C7219B">
      <w:pPr>
        <w:pStyle w:val="Heading3"/>
      </w:pPr>
      <w:bookmarkStart w:id="5" w:name="type-of-immobilization"/>
      <w:r>
        <w:t>Type of Immobilization</w:t>
      </w:r>
    </w:p>
    <w:p w14:paraId="09C9643C" w14:textId="77777777" w:rsidR="00CF3D84" w:rsidRDefault="00C7219B">
      <w:pPr>
        <w:pStyle w:val="FirstParagraph"/>
      </w:pPr>
      <w:r>
        <w:t xml:space="preserve">The type of splint is based on </w:t>
      </w:r>
      <w:r>
        <w:rPr>
          <w:b/>
          <w:bCs/>
        </w:rPr>
        <w:t>fracture stability</w:t>
      </w:r>
      <w:r>
        <w:t>, finger alignment, and patient comfort:</w:t>
      </w:r>
    </w:p>
    <w:p w14:paraId="0E170F51" w14:textId="77777777" w:rsidR="00CF3D84" w:rsidRDefault="00C7219B">
      <w:pPr>
        <w:numPr>
          <w:ilvl w:val="0"/>
          <w:numId w:val="4"/>
        </w:numPr>
      </w:pPr>
      <w:r>
        <w:rPr>
          <w:b/>
          <w:bCs/>
        </w:rPr>
        <w:t>Hand-based thermoplastic splint</w:t>
      </w:r>
      <w:r>
        <w:br/>
        <w:t xml:space="preserve">Commonly used for </w:t>
      </w:r>
      <w:r>
        <w:rPr>
          <w:b/>
          <w:bCs/>
        </w:rPr>
        <w:t>stable fracture patterns</w:t>
      </w:r>
      <w:r>
        <w:t>. This allows wrist motion while protecting the fracture and supports earlier finger motion.</w:t>
      </w:r>
    </w:p>
    <w:p w14:paraId="25B34EC6" w14:textId="77777777" w:rsidR="00CF3D84" w:rsidRDefault="00C7219B">
      <w:pPr>
        <w:numPr>
          <w:ilvl w:val="0"/>
          <w:numId w:val="4"/>
        </w:numPr>
      </w:pPr>
      <w:r>
        <w:rPr>
          <w:b/>
          <w:bCs/>
        </w:rPr>
        <w:t>Forearm-based thermoplastic splint</w:t>
      </w:r>
      <w:r>
        <w:br/>
        <w:t xml:space="preserve">Used for </w:t>
      </w:r>
      <w:r>
        <w:rPr>
          <w:b/>
          <w:bCs/>
        </w:rPr>
        <w:t>less stable fracture patterns</w:t>
      </w:r>
      <w:r>
        <w:t xml:space="preserve">, fractures that tend to shift, or when additional comfort and protection are needed. This may also be chosen based on </w:t>
      </w:r>
      <w:r>
        <w:rPr>
          <w:b/>
          <w:bCs/>
        </w:rPr>
        <w:t>patient preference</w:t>
      </w:r>
      <w:r>
        <w:t>.</w:t>
      </w:r>
    </w:p>
    <w:p w14:paraId="6AE1CC2E" w14:textId="77777777" w:rsidR="00CF3D84" w:rsidRDefault="00C7219B">
      <w:pPr>
        <w:numPr>
          <w:ilvl w:val="0"/>
          <w:numId w:val="4"/>
        </w:numPr>
      </w:pPr>
      <w:r>
        <w:rPr>
          <w:b/>
          <w:bCs/>
        </w:rPr>
        <w:t>Thumb spica splint</w:t>
      </w:r>
      <w:r>
        <w:br/>
        <w:t>Used for fractures involving the thumb metacarpal.</w:t>
      </w:r>
    </w:p>
    <w:p w14:paraId="73630123" w14:textId="77777777" w:rsidR="00CF3D84" w:rsidRDefault="00C7219B">
      <w:pPr>
        <w:pStyle w:val="Heading3"/>
      </w:pPr>
      <w:bookmarkStart w:id="6" w:name="immobilization-timeline-evidence-based"/>
      <w:bookmarkEnd w:id="5"/>
      <w:r>
        <w:t>Immobilization Timeline (Evidence-Based)</w:t>
      </w:r>
    </w:p>
    <w:p w14:paraId="382F8271" w14:textId="77777777" w:rsidR="00CF3D84" w:rsidRDefault="00C7219B">
      <w:pPr>
        <w:pStyle w:val="Compact"/>
        <w:numPr>
          <w:ilvl w:val="0"/>
          <w:numId w:val="5"/>
        </w:numPr>
      </w:pPr>
      <w:r>
        <w:t xml:space="preserve">Immobilization is typically required for </w:t>
      </w:r>
      <w:r>
        <w:rPr>
          <w:b/>
          <w:bCs/>
        </w:rPr>
        <w:t>3–4 weeks</w:t>
      </w:r>
      <w:r>
        <w:t xml:space="preserve"> for most stable metacarpal fractures.</w:t>
      </w:r>
    </w:p>
    <w:p w14:paraId="11AC0418" w14:textId="77777777" w:rsidR="00CF3D84" w:rsidRDefault="00C7219B">
      <w:pPr>
        <w:pStyle w:val="Compact"/>
        <w:numPr>
          <w:ilvl w:val="0"/>
          <w:numId w:val="5"/>
        </w:numPr>
      </w:pPr>
      <w:r>
        <w:lastRenderedPageBreak/>
        <w:t xml:space="preserve">More unstable patterns may require </w:t>
      </w:r>
      <w:r>
        <w:rPr>
          <w:b/>
          <w:bCs/>
        </w:rPr>
        <w:t>up to 4–5 weeks</w:t>
      </w:r>
      <w:r>
        <w:t xml:space="preserve"> of immobilization.</w:t>
      </w:r>
    </w:p>
    <w:p w14:paraId="0F25B46F" w14:textId="77777777" w:rsidR="00CF3D84" w:rsidRDefault="00C7219B">
      <w:pPr>
        <w:pStyle w:val="Compact"/>
        <w:numPr>
          <w:ilvl w:val="0"/>
          <w:numId w:val="5"/>
        </w:numPr>
      </w:pPr>
      <w:r>
        <w:t>Fingers not included in the splint are encouraged to move right away.</w:t>
      </w:r>
    </w:p>
    <w:p w14:paraId="3487C424" w14:textId="77777777" w:rsidR="00CF3D84" w:rsidRDefault="00C7219B">
      <w:pPr>
        <w:pStyle w:val="Heading3"/>
      </w:pPr>
      <w:bookmarkStart w:id="7" w:name="when-motion-begins"/>
      <w:bookmarkEnd w:id="6"/>
      <w:r>
        <w:t>When Motion Begins</w:t>
      </w:r>
    </w:p>
    <w:p w14:paraId="577C6D4C" w14:textId="77777777" w:rsidR="00CF3D84" w:rsidRDefault="00C7219B">
      <w:pPr>
        <w:pStyle w:val="Compact"/>
        <w:numPr>
          <w:ilvl w:val="0"/>
          <w:numId w:val="6"/>
        </w:numPr>
      </w:pPr>
      <w:r>
        <w:rPr>
          <w:b/>
          <w:bCs/>
        </w:rPr>
        <w:t>Finger range of motion (ROM)</w:t>
      </w:r>
      <w:r>
        <w:t xml:space="preserve"> exercises usually begin at </w:t>
      </w:r>
      <w:r>
        <w:rPr>
          <w:b/>
          <w:bCs/>
        </w:rPr>
        <w:t>3–4 weeks</w:t>
      </w:r>
      <w:r>
        <w:t>, once pain and tenderness improve.</w:t>
      </w:r>
    </w:p>
    <w:p w14:paraId="5B79DCBE" w14:textId="77777777" w:rsidR="00CF3D84" w:rsidRDefault="00C7219B">
      <w:pPr>
        <w:pStyle w:val="Compact"/>
        <w:numPr>
          <w:ilvl w:val="0"/>
          <w:numId w:val="6"/>
        </w:numPr>
      </w:pPr>
      <w:r>
        <w:t>Wrist motion is allowed earlier with hand-based splints.</w:t>
      </w:r>
    </w:p>
    <w:p w14:paraId="6D164095" w14:textId="77777777" w:rsidR="00CF3D84" w:rsidRDefault="00C7219B">
      <w:pPr>
        <w:pStyle w:val="Compact"/>
        <w:numPr>
          <w:ilvl w:val="0"/>
          <w:numId w:val="6"/>
        </w:numPr>
      </w:pPr>
      <w:r>
        <w:t xml:space="preserve">Gentle strengthening typically begins around </w:t>
      </w:r>
      <w:r>
        <w:rPr>
          <w:b/>
          <w:bCs/>
        </w:rPr>
        <w:t>5–6 weeks</w:t>
      </w:r>
      <w:r>
        <w:t>.</w:t>
      </w:r>
    </w:p>
    <w:p w14:paraId="09B892FC" w14:textId="77777777" w:rsidR="00CF3D84" w:rsidRDefault="00C7219B">
      <w:pPr>
        <w:pStyle w:val="FirstParagraph"/>
      </w:pPr>
      <w:r>
        <w:rPr>
          <w:b/>
          <w:bCs/>
        </w:rPr>
        <w:t>Most effective initial approach:</w:t>
      </w:r>
      <w:r>
        <w:t xml:space="preserve"> Appropriate thermoplastic splinting based on fracture stability, combined with </w:t>
      </w:r>
      <w:r>
        <w:rPr>
          <w:b/>
          <w:bCs/>
        </w:rPr>
        <w:t>early, protected finger motion</w:t>
      </w:r>
      <w:r>
        <w:t>, leads to reliable healing while minimizing stiffness.</w:t>
      </w:r>
    </w:p>
    <w:p w14:paraId="08EB94F5" w14:textId="77777777" w:rsidR="00CF3D84" w:rsidRDefault="00C7219B">
      <w:r>
        <w:pict w14:anchorId="28742545">
          <v:rect id="_x0000_i1028" style="width:0;height:1.5pt" o:hralign="center" o:hrstd="t" o:hr="t"/>
        </w:pict>
      </w:r>
    </w:p>
    <w:p w14:paraId="50BE3273" w14:textId="77777777" w:rsidR="00CF3D84" w:rsidRDefault="00C7219B">
      <w:pPr>
        <w:pStyle w:val="Heading2"/>
      </w:pPr>
      <w:bookmarkStart w:id="8" w:name="when-is-surgery-considered"/>
      <w:bookmarkEnd w:id="4"/>
      <w:bookmarkEnd w:id="7"/>
      <w:r>
        <w:t>When Is Surgery Considered?</w:t>
      </w:r>
    </w:p>
    <w:p w14:paraId="433B56A2" w14:textId="77777777" w:rsidR="001D3DED" w:rsidRDefault="00C7219B">
      <w:pPr>
        <w:pStyle w:val="FirstParagraph"/>
      </w:pPr>
      <w:r>
        <w:t xml:space="preserve">Surgery may be recommended if: </w:t>
      </w:r>
    </w:p>
    <w:p w14:paraId="2BA24F81" w14:textId="5A3F2355" w:rsidR="00CF3D84" w:rsidRDefault="00C7219B">
      <w:pPr>
        <w:pStyle w:val="FirstParagraph"/>
      </w:pPr>
      <w:r>
        <w:t>- The fracture is significantly displaced or angulated</w:t>
      </w:r>
      <w:r>
        <w:br/>
        <w:t>- The fingers rotate or cross when making a fist</w:t>
      </w:r>
      <w:r>
        <w:br/>
        <w:t>- The fracture is unstable or involves multiple bones</w:t>
      </w:r>
      <w:r>
        <w:br/>
        <w:t>- Alignment cannot be maintained with splinting</w:t>
      </w:r>
    </w:p>
    <w:p w14:paraId="0CD0C6A8" w14:textId="77777777" w:rsidR="00CF3D84" w:rsidRDefault="00C7219B">
      <w:r>
        <w:pict w14:anchorId="0AC686DC">
          <v:rect id="_x0000_i1029" style="width:0;height:1.5pt" o:hralign="center" o:hrstd="t" o:hr="t"/>
        </w:pict>
      </w:r>
    </w:p>
    <w:p w14:paraId="4061D6C0" w14:textId="77777777" w:rsidR="00CF3D84" w:rsidRDefault="00C7219B">
      <w:pPr>
        <w:pStyle w:val="Heading2"/>
      </w:pPr>
      <w:bookmarkStart w:id="9" w:name="surgical-treatment-options"/>
      <w:bookmarkEnd w:id="8"/>
      <w:r>
        <w:t>Surgical Treatment Options</w:t>
      </w:r>
    </w:p>
    <w:p w14:paraId="047854AD" w14:textId="77777777" w:rsidR="00CF3D84" w:rsidRDefault="00C7219B">
      <w:pPr>
        <w:numPr>
          <w:ilvl w:val="0"/>
          <w:numId w:val="7"/>
        </w:numPr>
      </w:pPr>
      <w:r>
        <w:rPr>
          <w:b/>
          <w:bCs/>
        </w:rPr>
        <w:t>Intramedullary screw fixation</w:t>
      </w:r>
      <w:r>
        <w:br/>
        <w:t xml:space="preserve">A screw is placed inside the bone through a small incision to stabilize the fracture. This often allows </w:t>
      </w:r>
      <w:r>
        <w:rPr>
          <w:b/>
          <w:bCs/>
        </w:rPr>
        <w:t>earlier motion</w:t>
      </w:r>
      <w:r>
        <w:t xml:space="preserve"> and less bulky immobilization.</w:t>
      </w:r>
    </w:p>
    <w:p w14:paraId="17552AEB" w14:textId="0F0067E6" w:rsidR="00CF3D84" w:rsidRDefault="00C7219B">
      <w:pPr>
        <w:numPr>
          <w:ilvl w:val="0"/>
          <w:numId w:val="7"/>
        </w:numPr>
      </w:pPr>
      <w:r>
        <w:rPr>
          <w:b/>
          <w:bCs/>
        </w:rPr>
        <w:t>Plate and screw fixation</w:t>
      </w:r>
      <w:r w:rsidR="001D3DED">
        <w:rPr>
          <w:b/>
          <w:bCs/>
        </w:rPr>
        <w:t>, or independent screw fixation</w:t>
      </w:r>
      <w:r>
        <w:br/>
        <w:t>Used for more complex or unstable fractures.</w:t>
      </w:r>
    </w:p>
    <w:p w14:paraId="395C4A72" w14:textId="77777777" w:rsidR="00CF3D84" w:rsidRDefault="00C7219B">
      <w:pPr>
        <w:numPr>
          <w:ilvl w:val="0"/>
          <w:numId w:val="7"/>
        </w:numPr>
      </w:pPr>
      <w:r>
        <w:rPr>
          <w:b/>
          <w:bCs/>
        </w:rPr>
        <w:t>Pins (K-wires)</w:t>
      </w:r>
      <w:r>
        <w:br/>
        <w:t>Temporary pins may be used to hold the fracture while it heals.</w:t>
      </w:r>
    </w:p>
    <w:p w14:paraId="24A0BF6C" w14:textId="77777777" w:rsidR="00CF3D84" w:rsidRDefault="00C7219B">
      <w:pPr>
        <w:pStyle w:val="FirstParagraph"/>
      </w:pPr>
      <w:r>
        <w:t>The choice of surgery depends on fracture pattern, hand dominance, and activity demands.</w:t>
      </w:r>
    </w:p>
    <w:p w14:paraId="45DC5B11" w14:textId="77777777" w:rsidR="00CF3D84" w:rsidRDefault="00C7219B">
      <w:r>
        <w:pict w14:anchorId="7D3061A3">
          <v:rect id="_x0000_i1030" style="width:0;height:1.5pt" o:hralign="center" o:hrstd="t" o:hr="t"/>
        </w:pict>
      </w:r>
    </w:p>
    <w:p w14:paraId="319E63EF" w14:textId="77777777" w:rsidR="00CF3D84" w:rsidRDefault="00C7219B">
      <w:pPr>
        <w:pStyle w:val="Heading2"/>
      </w:pPr>
      <w:bookmarkStart w:id="10" w:name="healing-and-recovery-timeline"/>
      <w:bookmarkEnd w:id="9"/>
      <w:r>
        <w:t>Healing and Recovery Timeline</w:t>
      </w:r>
    </w:p>
    <w:p w14:paraId="246C899D" w14:textId="77777777" w:rsidR="00CF3D84" w:rsidRDefault="00C7219B">
      <w:pPr>
        <w:pStyle w:val="Compact"/>
        <w:numPr>
          <w:ilvl w:val="0"/>
          <w:numId w:val="8"/>
        </w:numPr>
      </w:pPr>
      <w:r>
        <w:t xml:space="preserve">Bone healing typically takes </w:t>
      </w:r>
      <w:r>
        <w:rPr>
          <w:b/>
          <w:bCs/>
        </w:rPr>
        <w:t>6–8 weeks</w:t>
      </w:r>
      <w:r>
        <w:br/>
      </w:r>
    </w:p>
    <w:p w14:paraId="72E811F1" w14:textId="77777777" w:rsidR="00CF3D84" w:rsidRDefault="00C7219B">
      <w:pPr>
        <w:pStyle w:val="Compact"/>
        <w:numPr>
          <w:ilvl w:val="0"/>
          <w:numId w:val="8"/>
        </w:numPr>
      </w:pPr>
      <w:r>
        <w:lastRenderedPageBreak/>
        <w:t>Swelling and stiffness may last longer</w:t>
      </w:r>
      <w:r>
        <w:br/>
      </w:r>
    </w:p>
    <w:p w14:paraId="4C053672" w14:textId="7C348549" w:rsidR="00CF3D84" w:rsidRDefault="00C7219B">
      <w:pPr>
        <w:pStyle w:val="Compact"/>
        <w:numPr>
          <w:ilvl w:val="0"/>
          <w:numId w:val="8"/>
        </w:numPr>
      </w:pPr>
      <w:r>
        <w:t>Most patients return to normal</w:t>
      </w:r>
      <w:r w:rsidR="001D3DED">
        <w:t>, low-impact</w:t>
      </w:r>
      <w:r>
        <w:t xml:space="preserve"> daily activities by </w:t>
      </w:r>
      <w:r>
        <w:rPr>
          <w:b/>
          <w:bCs/>
        </w:rPr>
        <w:t>6–8 weeks</w:t>
      </w:r>
      <w:r>
        <w:br/>
      </w:r>
    </w:p>
    <w:p w14:paraId="7F06A2D4" w14:textId="77777777" w:rsidR="00CF3D84" w:rsidRDefault="00C7219B">
      <w:pPr>
        <w:pStyle w:val="Compact"/>
        <w:numPr>
          <w:ilvl w:val="0"/>
          <w:numId w:val="8"/>
        </w:numPr>
      </w:pPr>
      <w:r>
        <w:t>Heavy lifting or contact sports may be restricted longer</w:t>
      </w:r>
    </w:p>
    <w:p w14:paraId="3CA1A30A" w14:textId="77777777" w:rsidR="00CF3D84" w:rsidRDefault="00C7219B">
      <w:r>
        <w:pict w14:anchorId="441EA180">
          <v:rect id="_x0000_i1031" style="width:0;height:1.5pt" o:hralign="center" o:hrstd="t" o:hr="t"/>
        </w:pict>
      </w:r>
    </w:p>
    <w:p w14:paraId="1FF89292" w14:textId="77777777" w:rsidR="00CF3D84" w:rsidRDefault="00C7219B">
      <w:pPr>
        <w:pStyle w:val="Heading2"/>
      </w:pPr>
      <w:bookmarkStart w:id="11" w:name="possible-long-term-effects"/>
      <w:bookmarkEnd w:id="10"/>
      <w:r>
        <w:t>Possible Long-Term Effects</w:t>
      </w:r>
    </w:p>
    <w:p w14:paraId="1E1BC003" w14:textId="77777777" w:rsidR="00CF3D84" w:rsidRDefault="00C7219B">
      <w:pPr>
        <w:pStyle w:val="Compact"/>
        <w:numPr>
          <w:ilvl w:val="0"/>
          <w:numId w:val="9"/>
        </w:numPr>
      </w:pPr>
      <w:r>
        <w:t>Mild stiffness or weakness</w:t>
      </w:r>
      <w:r>
        <w:br/>
      </w:r>
    </w:p>
    <w:p w14:paraId="29A1E5D1" w14:textId="77777777" w:rsidR="00CF3D84" w:rsidRDefault="00C7219B">
      <w:pPr>
        <w:pStyle w:val="Compact"/>
        <w:numPr>
          <w:ilvl w:val="0"/>
          <w:numId w:val="9"/>
        </w:numPr>
      </w:pPr>
      <w:r>
        <w:t>Residual swelling or tenderness</w:t>
      </w:r>
      <w:r>
        <w:br/>
      </w:r>
    </w:p>
    <w:p w14:paraId="42FA5BA4" w14:textId="77777777" w:rsidR="00CF3D84" w:rsidRDefault="00C7219B">
      <w:pPr>
        <w:pStyle w:val="Compact"/>
        <w:numPr>
          <w:ilvl w:val="0"/>
          <w:numId w:val="9"/>
        </w:numPr>
      </w:pPr>
      <w:r>
        <w:t>Rarely, malalignment or decreased grip strength</w:t>
      </w:r>
    </w:p>
    <w:p w14:paraId="199A7ED1" w14:textId="77777777" w:rsidR="00CF3D84" w:rsidRDefault="00C7219B">
      <w:pPr>
        <w:pStyle w:val="FirstParagraph"/>
      </w:pPr>
      <w:r>
        <w:t xml:space="preserve">Most patients recover </w:t>
      </w:r>
      <w:r>
        <w:rPr>
          <w:b/>
          <w:bCs/>
        </w:rPr>
        <w:t>good hand function</w:t>
      </w:r>
      <w:r>
        <w:t xml:space="preserve"> with proper treatment.</w:t>
      </w:r>
    </w:p>
    <w:p w14:paraId="56FFE267" w14:textId="77777777" w:rsidR="00CF3D84" w:rsidRDefault="00C7219B">
      <w:r>
        <w:pict w14:anchorId="66268BEE">
          <v:rect id="_x0000_i1032" style="width:0;height:1.5pt" o:hralign="center" o:hrstd="t" o:hr="t"/>
        </w:pict>
      </w:r>
    </w:p>
    <w:p w14:paraId="319D7863" w14:textId="77777777" w:rsidR="00CF3D84" w:rsidRDefault="00C7219B">
      <w:pPr>
        <w:pStyle w:val="Heading2"/>
      </w:pPr>
      <w:bookmarkStart w:id="12" w:name="when-to-call-your-provider"/>
      <w:bookmarkEnd w:id="11"/>
      <w:r>
        <w:t>When to Call Your Provider</w:t>
      </w:r>
    </w:p>
    <w:p w14:paraId="084C97EC" w14:textId="77777777" w:rsidR="001D3DED" w:rsidRDefault="00C7219B">
      <w:pPr>
        <w:pStyle w:val="FirstParagraph"/>
      </w:pPr>
      <w:r>
        <w:t xml:space="preserve">Contact your doctor if you notice: </w:t>
      </w:r>
    </w:p>
    <w:p w14:paraId="0120482F" w14:textId="05EA4B04" w:rsidR="00CF3D84" w:rsidRDefault="00C7219B">
      <w:pPr>
        <w:pStyle w:val="FirstParagraph"/>
      </w:pPr>
      <w:r>
        <w:t>- Increasing pain or swelling</w:t>
      </w:r>
      <w:r>
        <w:br/>
        <w:t>- Numbness or color changes in the fingers</w:t>
      </w:r>
      <w:r>
        <w:br/>
        <w:t>- Fingers crossing or rotating with motion</w:t>
      </w:r>
      <w:r>
        <w:br/>
        <w:t>- Problems with the splint or cast</w:t>
      </w:r>
    </w:p>
    <w:p w14:paraId="4E7DDADC" w14:textId="77777777" w:rsidR="00CF3D84" w:rsidRDefault="00C7219B">
      <w:r>
        <w:pict w14:anchorId="6FD320E5">
          <v:rect id="_x0000_i1033" style="width:0;height:1.5pt" o:hralign="center" o:hrstd="t" o:hr="t"/>
        </w:pict>
      </w:r>
    </w:p>
    <w:p w14:paraId="4D421512" w14:textId="77777777" w:rsidR="00CF3D84" w:rsidRDefault="00C7219B">
      <w:pPr>
        <w:pStyle w:val="Heading2"/>
      </w:pPr>
      <w:bookmarkStart w:id="13" w:name="key-takeaway"/>
      <w:bookmarkEnd w:id="12"/>
      <w:r>
        <w:t>Key Takeaway</w:t>
      </w:r>
    </w:p>
    <w:p w14:paraId="7B2F2F19" w14:textId="77777777" w:rsidR="00CF3D84" w:rsidRDefault="00C7219B">
      <w:pPr>
        <w:pStyle w:val="FirstParagraph"/>
      </w:pPr>
      <w:r>
        <w:t xml:space="preserve">Most metacarpal fractures heal well without surgery. </w:t>
      </w:r>
      <w:r>
        <w:rPr>
          <w:b/>
          <w:bCs/>
        </w:rPr>
        <w:t>Proper splinting followed by timely motion</w:t>
      </w:r>
      <w:r>
        <w:t xml:space="preserve"> is critical to restoring strength and function.</w:t>
      </w:r>
      <w:bookmarkEnd w:id="0"/>
      <w:bookmarkEnd w:id="13"/>
    </w:p>
    <w:sectPr w:rsidR="00CF3D8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320D30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E46B2B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79696043">
    <w:abstractNumId w:val="0"/>
  </w:num>
  <w:num w:numId="2" w16cid:durableId="508255549">
    <w:abstractNumId w:val="1"/>
  </w:num>
  <w:num w:numId="3" w16cid:durableId="2040620834">
    <w:abstractNumId w:val="1"/>
  </w:num>
  <w:num w:numId="4" w16cid:durableId="1562015099">
    <w:abstractNumId w:val="1"/>
  </w:num>
  <w:num w:numId="5" w16cid:durableId="713431370">
    <w:abstractNumId w:val="1"/>
  </w:num>
  <w:num w:numId="6" w16cid:durableId="234054009">
    <w:abstractNumId w:val="1"/>
  </w:num>
  <w:num w:numId="7" w16cid:durableId="1939017659">
    <w:abstractNumId w:val="1"/>
  </w:num>
  <w:num w:numId="8" w16cid:durableId="935015873">
    <w:abstractNumId w:val="1"/>
  </w:num>
  <w:num w:numId="9" w16cid:durableId="288975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84"/>
    <w:rsid w:val="001D3DED"/>
    <w:rsid w:val="00651D1C"/>
    <w:rsid w:val="00944DD2"/>
    <w:rsid w:val="00C36B0D"/>
    <w:rsid w:val="00C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280B435"/>
  <w15:docId w15:val="{9CBA3234-E395-4B4C-BC65-F32FB251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Arjun Dhayalan</dc:creator>
  <cp:keywords/>
  <cp:lastModifiedBy>Marissa Lucci</cp:lastModifiedBy>
  <cp:revision>2</cp:revision>
  <dcterms:created xsi:type="dcterms:W3CDTF">2026-01-12T16:32:00Z</dcterms:created>
  <dcterms:modified xsi:type="dcterms:W3CDTF">2026-01-12T16:32:00Z</dcterms:modified>
</cp:coreProperties>
</file>