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A273FE" w:rsidRPr="004B154A" w14:paraId="0DF7AF17" w14:textId="77777777" w:rsidTr="008656D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49FBE74F" w14:textId="77777777" w:rsidR="00A273FE" w:rsidRPr="004B154A" w:rsidRDefault="00A273FE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de-quervains-tendonitis"/>
            <w:r w:rsidRPr="004B154A">
              <w:rPr>
                <w:rFonts w:ascii="Proxima Nova" w:hAnsi="Proxima Nova"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79E1BD82" wp14:editId="64301511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5FE5A9FF" w14:textId="77777777" w:rsidR="00A273FE" w:rsidRPr="004B154A" w:rsidRDefault="00A273FE" w:rsidP="008656DA">
            <w:pPr>
              <w:jc w:val="center"/>
              <w:rPr>
                <w:rFonts w:ascii="Proxima Nova" w:hAnsi="Proxima Nova"/>
              </w:rPr>
            </w:pPr>
          </w:p>
          <w:p w14:paraId="08B795D9" w14:textId="77777777" w:rsidR="00A273FE" w:rsidRPr="004B154A" w:rsidRDefault="00A273FE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05FC6321" w14:textId="77777777" w:rsidR="00A273FE" w:rsidRPr="004B154A" w:rsidRDefault="00A273FE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3E738C6E" w14:textId="77777777" w:rsidR="00A273FE" w:rsidRPr="004B154A" w:rsidRDefault="00A273FE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71DF2E93" w14:textId="77777777" w:rsidR="00A273FE" w:rsidRPr="004B154A" w:rsidRDefault="00A273FE" w:rsidP="008656DA">
            <w:pPr>
              <w:jc w:val="right"/>
              <w:rPr>
                <w:rFonts w:ascii="Proxima Nova" w:hAnsi="Proxima Nova"/>
              </w:rPr>
            </w:pPr>
          </w:p>
          <w:p w14:paraId="1A0ABCB5" w14:textId="77777777" w:rsidR="00A273FE" w:rsidRPr="004B154A" w:rsidRDefault="00A273FE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28F6369C" w14:textId="77777777" w:rsidR="00A273FE" w:rsidRPr="004B154A" w:rsidRDefault="00A273FE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0899C3C2" w14:textId="77777777" w:rsidR="00A273FE" w:rsidRPr="004B154A" w:rsidRDefault="00A273FE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7204AF03" w14:textId="77777777" w:rsidR="00A273FE" w:rsidRPr="00BD3673" w:rsidRDefault="00A273FE" w:rsidP="00A273FE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47358BBA" w14:textId="2DCEF23F" w:rsidR="00942916" w:rsidRPr="00473384" w:rsidRDefault="00473384">
      <w:pPr>
        <w:pStyle w:val="Heading1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De </w:t>
      </w:r>
      <w:proofErr w:type="spellStart"/>
      <w:r>
        <w:rPr>
          <w:b/>
          <w:bCs/>
          <w:sz w:val="32"/>
          <w:szCs w:val="32"/>
        </w:rPr>
        <w:t>Quervain’s</w:t>
      </w:r>
      <w:proofErr w:type="spellEnd"/>
      <w:r>
        <w:rPr>
          <w:b/>
          <w:bCs/>
          <w:sz w:val="32"/>
          <w:szCs w:val="32"/>
        </w:rPr>
        <w:t xml:space="preserve"> Tendonitis</w:t>
      </w:r>
      <w:r w:rsidR="00A273FE" w:rsidRPr="006C07E5">
        <w:rPr>
          <w:b/>
          <w:bCs/>
          <w:sz w:val="32"/>
          <w:szCs w:val="32"/>
        </w:rPr>
        <w:t>: Patient Education Sheet</w:t>
      </w:r>
    </w:p>
    <w:p w14:paraId="6C3E4106" w14:textId="77777777" w:rsidR="00942916" w:rsidRDefault="0066448F">
      <w:pPr>
        <w:pStyle w:val="Heading2"/>
      </w:pPr>
      <w:bookmarkStart w:id="1" w:name="what-is-de-quervains-tendonitis"/>
      <w:r>
        <w:t>What Is De Quervain’s Tendonitis?</w:t>
      </w:r>
    </w:p>
    <w:p w14:paraId="2B5176F2" w14:textId="77777777" w:rsidR="00942916" w:rsidRDefault="0066448F">
      <w:pPr>
        <w:pStyle w:val="FirstParagraph"/>
      </w:pPr>
      <w:r>
        <w:t xml:space="preserve">De Quervain’s tendonitis is irritation and swelling of two tendons on the </w:t>
      </w:r>
      <w:r>
        <w:rPr>
          <w:b/>
          <w:bCs/>
        </w:rPr>
        <w:t>thumb side of the wrist</w:t>
      </w:r>
      <w:r>
        <w:t>. These tendons help move the thumb away from the hand. When they become inflamed or tight, thumb and wrist movement can become painful.</w:t>
      </w:r>
    </w:p>
    <w:p w14:paraId="6F4CEDD0" w14:textId="77777777" w:rsidR="00942916" w:rsidRDefault="0066448F">
      <w:pPr>
        <w:pStyle w:val="Heading2"/>
      </w:pPr>
      <w:bookmarkStart w:id="2" w:name="common-symptoms"/>
      <w:bookmarkEnd w:id="1"/>
      <w:r>
        <w:t>Common Symptoms</w:t>
      </w:r>
    </w:p>
    <w:p w14:paraId="754C44D6" w14:textId="77777777" w:rsidR="00942916" w:rsidRDefault="0066448F">
      <w:pPr>
        <w:pStyle w:val="Compact"/>
        <w:numPr>
          <w:ilvl w:val="0"/>
          <w:numId w:val="2"/>
        </w:numPr>
      </w:pPr>
      <w:r>
        <w:t xml:space="preserve">Pain on the </w:t>
      </w:r>
      <w:r>
        <w:rPr>
          <w:b/>
          <w:bCs/>
        </w:rPr>
        <w:t>thumb side of the wrist</w:t>
      </w:r>
    </w:p>
    <w:p w14:paraId="09F9C4C0" w14:textId="77777777" w:rsidR="00942916" w:rsidRDefault="0066448F">
      <w:pPr>
        <w:pStyle w:val="Compact"/>
        <w:numPr>
          <w:ilvl w:val="0"/>
          <w:numId w:val="2"/>
        </w:numPr>
      </w:pPr>
      <w:r>
        <w:t>Pain with gripping, pinching, lifting, or twisting</w:t>
      </w:r>
    </w:p>
    <w:p w14:paraId="4DFDA8BB" w14:textId="77777777" w:rsidR="00942916" w:rsidRDefault="0066448F">
      <w:pPr>
        <w:pStyle w:val="Compact"/>
        <w:numPr>
          <w:ilvl w:val="0"/>
          <w:numId w:val="2"/>
        </w:numPr>
      </w:pPr>
      <w:r>
        <w:t>Swelling or tenderness near the base of the thumb</w:t>
      </w:r>
    </w:p>
    <w:p w14:paraId="173EE381" w14:textId="77777777" w:rsidR="00942916" w:rsidRDefault="0066448F">
      <w:pPr>
        <w:pStyle w:val="Compact"/>
        <w:numPr>
          <w:ilvl w:val="0"/>
          <w:numId w:val="2"/>
        </w:numPr>
      </w:pPr>
      <w:r>
        <w:t>Pain when moving the thumb or bending the wrist</w:t>
      </w:r>
    </w:p>
    <w:p w14:paraId="62AA8FF9" w14:textId="77777777" w:rsidR="00942916" w:rsidRDefault="0066448F">
      <w:pPr>
        <w:pStyle w:val="Compact"/>
        <w:numPr>
          <w:ilvl w:val="0"/>
          <w:numId w:val="2"/>
        </w:numPr>
      </w:pPr>
      <w:r>
        <w:t>Symptoms often worsen with repetitive use or lifting</w:t>
      </w:r>
    </w:p>
    <w:p w14:paraId="147C5382" w14:textId="412A450C" w:rsidR="00CF33A7" w:rsidRDefault="00CF33A7" w:rsidP="00CF33A7">
      <w:pPr>
        <w:pStyle w:val="Compact"/>
      </w:pPr>
      <w:r>
        <w:rPr>
          <w:noProof/>
        </w:rPr>
        <w:drawing>
          <wp:inline distT="0" distB="0" distL="0" distR="0" wp14:anchorId="5C338741" wp14:editId="7BD72179">
            <wp:extent cx="3390900" cy="2197202"/>
            <wp:effectExtent l="0" t="0" r="0" b="0"/>
            <wp:docPr id="1817338142" name="Picture 1" descr="de Quervain Tendonitis - Raleigh Hand Surgery — Joseph 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Quervain Tendonitis - Raleigh Hand Surgery — Joseph J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297" cy="220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22191" w14:textId="77777777" w:rsidR="00942916" w:rsidRDefault="0066448F">
      <w:pPr>
        <w:pStyle w:val="Heading2"/>
      </w:pPr>
      <w:bookmarkStart w:id="3" w:name="why-does-it-happen"/>
      <w:bookmarkEnd w:id="2"/>
      <w:r>
        <w:t>Why Does It Happen?</w:t>
      </w:r>
    </w:p>
    <w:p w14:paraId="03AE96EA" w14:textId="77777777" w:rsidR="00942916" w:rsidRDefault="0066448F">
      <w:pPr>
        <w:pStyle w:val="Compact"/>
        <w:numPr>
          <w:ilvl w:val="0"/>
          <w:numId w:val="3"/>
        </w:numPr>
      </w:pPr>
      <w:r>
        <w:t>Repetitive thumb or wrist motion</w:t>
      </w:r>
    </w:p>
    <w:p w14:paraId="5BE03D50" w14:textId="77777777" w:rsidR="00942916" w:rsidRDefault="0066448F">
      <w:pPr>
        <w:pStyle w:val="Compact"/>
        <w:numPr>
          <w:ilvl w:val="0"/>
          <w:numId w:val="3"/>
        </w:numPr>
      </w:pPr>
      <w:r>
        <w:t>Forceful gripping or lifting</w:t>
      </w:r>
    </w:p>
    <w:p w14:paraId="449D09A4" w14:textId="77777777" w:rsidR="00942916" w:rsidRDefault="0066448F">
      <w:pPr>
        <w:pStyle w:val="Compact"/>
        <w:numPr>
          <w:ilvl w:val="0"/>
          <w:numId w:val="3"/>
        </w:numPr>
      </w:pPr>
      <w:r>
        <w:t>Sudden increase in hand activities</w:t>
      </w:r>
    </w:p>
    <w:p w14:paraId="5787C1C7" w14:textId="77777777" w:rsidR="00942916" w:rsidRDefault="0066448F">
      <w:pPr>
        <w:pStyle w:val="Compact"/>
        <w:numPr>
          <w:ilvl w:val="0"/>
          <w:numId w:val="3"/>
        </w:numPr>
      </w:pPr>
      <w:r>
        <w:lastRenderedPageBreak/>
        <w:t>Pregnancy or postpartum period</w:t>
      </w:r>
      <w:r>
        <w:br/>
      </w:r>
      <w:r>
        <w:rPr>
          <w:i/>
          <w:iCs/>
        </w:rPr>
        <w:t>(Sometimes no clear cause is identified)</w:t>
      </w:r>
    </w:p>
    <w:p w14:paraId="0E21CA09" w14:textId="77777777" w:rsidR="00942916" w:rsidRDefault="0066448F">
      <w:pPr>
        <w:pStyle w:val="Heading2"/>
      </w:pPr>
      <w:bookmarkStart w:id="4" w:name="diagnosis"/>
      <w:bookmarkEnd w:id="3"/>
      <w:r>
        <w:t>Diagnosis</w:t>
      </w:r>
    </w:p>
    <w:p w14:paraId="41506D79" w14:textId="77777777" w:rsidR="00942916" w:rsidRDefault="0066448F">
      <w:pPr>
        <w:pStyle w:val="FirstParagraph"/>
      </w:pPr>
      <w:r>
        <w:t xml:space="preserve">De Quervain’s tendonitis is usually diagnosed with a </w:t>
      </w:r>
      <w:r>
        <w:rPr>
          <w:b/>
          <w:bCs/>
        </w:rPr>
        <w:t>history and physical exam</w:t>
      </w:r>
      <w:r>
        <w:t>.</w:t>
      </w:r>
    </w:p>
    <w:p w14:paraId="08927BB3" w14:textId="7D4B31A4" w:rsidR="00942916" w:rsidRDefault="0066448F" w:rsidP="00CF33A7">
      <w:pPr>
        <w:pStyle w:val="Compact"/>
        <w:numPr>
          <w:ilvl w:val="0"/>
          <w:numId w:val="4"/>
        </w:numPr>
      </w:pPr>
      <w:r>
        <w:rPr>
          <w:b/>
          <w:bCs/>
        </w:rPr>
        <w:t>Physical exam:</w:t>
      </w:r>
      <w:r>
        <w:t xml:space="preserve"> Tenderness over the thumb-side wrist and pain with thumb motion</w:t>
      </w:r>
    </w:p>
    <w:p w14:paraId="76A049E1" w14:textId="77777777" w:rsidR="00942916" w:rsidRDefault="0066448F">
      <w:pPr>
        <w:pStyle w:val="Compact"/>
        <w:numPr>
          <w:ilvl w:val="0"/>
          <w:numId w:val="4"/>
        </w:numPr>
      </w:pPr>
      <w:r>
        <w:rPr>
          <w:b/>
          <w:bCs/>
        </w:rPr>
        <w:t>Ultrasound:</w:t>
      </w:r>
      <w:r>
        <w:t xml:space="preserve"> May be used to show tendon swelling or thickening and can help guide injections if needed</w:t>
      </w:r>
    </w:p>
    <w:p w14:paraId="7E3F445B" w14:textId="77777777" w:rsidR="00942916" w:rsidRDefault="0066448F">
      <w:pPr>
        <w:pStyle w:val="Compact"/>
        <w:numPr>
          <w:ilvl w:val="0"/>
          <w:numId w:val="4"/>
        </w:numPr>
      </w:pPr>
      <w:r>
        <w:t>X-rays are usually not required unless another condition is suspected</w:t>
      </w:r>
    </w:p>
    <w:p w14:paraId="5C2E4E91" w14:textId="77777777" w:rsidR="00942916" w:rsidRDefault="0066448F">
      <w:pPr>
        <w:pStyle w:val="Heading2"/>
      </w:pPr>
      <w:bookmarkStart w:id="5" w:name="non-surgical-treatment-options"/>
      <w:bookmarkEnd w:id="4"/>
      <w:r>
        <w:t>Non-Surgical Treatment Options</w:t>
      </w:r>
    </w:p>
    <w:p w14:paraId="77890616" w14:textId="77777777" w:rsidR="00942916" w:rsidRDefault="0066448F">
      <w:pPr>
        <w:pStyle w:val="FirstParagraph"/>
      </w:pPr>
      <w:r>
        <w:rPr>
          <w:i/>
          <w:iCs/>
        </w:rPr>
        <w:t>(Listed from least to most invasive)</w:t>
      </w:r>
    </w:p>
    <w:p w14:paraId="5EBB6C08" w14:textId="77777777" w:rsidR="00942916" w:rsidRDefault="0066448F">
      <w:pPr>
        <w:pStyle w:val="Compact"/>
        <w:numPr>
          <w:ilvl w:val="0"/>
          <w:numId w:val="5"/>
        </w:numPr>
      </w:pPr>
      <w:r>
        <w:rPr>
          <w:b/>
          <w:bCs/>
        </w:rPr>
        <w:t>Activity modification</w:t>
      </w:r>
      <w:r>
        <w:t xml:space="preserve"> (avoiding painful gripping or repetitive thumb motion; often improves symptoms)</w:t>
      </w:r>
    </w:p>
    <w:p w14:paraId="572C5A6D" w14:textId="77777777" w:rsidR="00942916" w:rsidRDefault="0066448F">
      <w:pPr>
        <w:pStyle w:val="Compact"/>
        <w:numPr>
          <w:ilvl w:val="0"/>
          <w:numId w:val="5"/>
        </w:numPr>
      </w:pPr>
      <w:r>
        <w:rPr>
          <w:b/>
          <w:bCs/>
        </w:rPr>
        <w:t>Thumb spica splint</w:t>
      </w:r>
      <w:r>
        <w:t xml:space="preserve"> (rests the thumb and wrist; commonly reduces pain)</w:t>
      </w:r>
    </w:p>
    <w:p w14:paraId="5B95FA89" w14:textId="77777777" w:rsidR="00942916" w:rsidRDefault="0066448F">
      <w:pPr>
        <w:pStyle w:val="Compact"/>
        <w:numPr>
          <w:ilvl w:val="0"/>
          <w:numId w:val="5"/>
        </w:numPr>
      </w:pPr>
      <w:r>
        <w:rPr>
          <w:b/>
          <w:bCs/>
        </w:rPr>
        <w:t>Anti-inflammatory medications</w:t>
      </w:r>
      <w:r>
        <w:t xml:space="preserve"> (may help pain and swelling)</w:t>
      </w:r>
    </w:p>
    <w:p w14:paraId="23B94C0A" w14:textId="77777777" w:rsidR="00942916" w:rsidRDefault="0066448F">
      <w:pPr>
        <w:pStyle w:val="Compact"/>
        <w:numPr>
          <w:ilvl w:val="0"/>
          <w:numId w:val="5"/>
        </w:numPr>
      </w:pPr>
      <w:r>
        <w:rPr>
          <w:b/>
          <w:bCs/>
        </w:rPr>
        <w:t>Steroid injection</w:t>
      </w:r>
      <w:r>
        <w:t xml:space="preserve"> (reduces tendon swelling; relief often lasts </w:t>
      </w:r>
      <w:r>
        <w:rPr>
          <w:b/>
          <w:bCs/>
        </w:rPr>
        <w:t>weeks to months</w:t>
      </w:r>
      <w:r>
        <w:t xml:space="preserve"> and is commonly effective)</w:t>
      </w:r>
    </w:p>
    <w:p w14:paraId="16A6CF30" w14:textId="77777777" w:rsidR="00942916" w:rsidRDefault="0066448F">
      <w:pPr>
        <w:pStyle w:val="FirstParagraph"/>
      </w:pPr>
      <w:r>
        <w:t>Many patients improve without surgery.</w:t>
      </w:r>
    </w:p>
    <w:p w14:paraId="186716B8" w14:textId="48BC535E" w:rsidR="00942916" w:rsidRDefault="0066448F">
      <w:pPr>
        <w:pStyle w:val="Heading2"/>
      </w:pPr>
      <w:bookmarkStart w:id="6" w:name="surgical-treatment-if-needed"/>
      <w:bookmarkEnd w:id="5"/>
      <w:r>
        <w:t xml:space="preserve">Surgical Treatment </w:t>
      </w:r>
    </w:p>
    <w:p w14:paraId="45DF3FC0" w14:textId="77777777" w:rsidR="00942916" w:rsidRDefault="0066448F">
      <w:pPr>
        <w:pStyle w:val="FirstParagraph"/>
      </w:pPr>
      <w:r>
        <w:t>Surgery may be recommended if symptoms continue despite non-surgical care.</w:t>
      </w:r>
    </w:p>
    <w:p w14:paraId="209D775A" w14:textId="77777777" w:rsidR="00942916" w:rsidRDefault="0066448F">
      <w:pPr>
        <w:pStyle w:val="Compact"/>
        <w:numPr>
          <w:ilvl w:val="0"/>
          <w:numId w:val="6"/>
        </w:numPr>
      </w:pPr>
      <w:r>
        <w:t>Releases the tight tendon sheath so the tendons can glide freely</w:t>
      </w:r>
    </w:p>
    <w:p w14:paraId="53F87FED" w14:textId="77777777" w:rsidR="00942916" w:rsidRDefault="0066448F">
      <w:pPr>
        <w:pStyle w:val="Compact"/>
        <w:numPr>
          <w:ilvl w:val="0"/>
          <w:numId w:val="6"/>
        </w:numPr>
      </w:pPr>
      <w:r>
        <w:t xml:space="preserve">Performed as an </w:t>
      </w:r>
      <w:r>
        <w:rPr>
          <w:b/>
          <w:bCs/>
        </w:rPr>
        <w:t>outpatient procedure</w:t>
      </w:r>
    </w:p>
    <w:p w14:paraId="7F5084D4" w14:textId="77777777" w:rsidR="00942916" w:rsidRDefault="0066448F">
      <w:pPr>
        <w:pStyle w:val="Compact"/>
        <w:numPr>
          <w:ilvl w:val="0"/>
          <w:numId w:val="6"/>
        </w:numPr>
      </w:pPr>
      <w:r>
        <w:t xml:space="preserve">Usually done with </w:t>
      </w:r>
      <w:r>
        <w:rPr>
          <w:b/>
          <w:bCs/>
        </w:rPr>
        <w:t>local anesthesia</w:t>
      </w:r>
    </w:p>
    <w:p w14:paraId="4F04C222" w14:textId="77777777" w:rsidR="00942916" w:rsidRDefault="0066448F">
      <w:pPr>
        <w:pStyle w:val="Compact"/>
        <w:numPr>
          <w:ilvl w:val="0"/>
          <w:numId w:val="6"/>
        </w:numPr>
      </w:pPr>
      <w:r>
        <w:t>Involves a small incision on the thumb side of the wrist</w:t>
      </w:r>
    </w:p>
    <w:p w14:paraId="04987BC8" w14:textId="77777777" w:rsidR="00942916" w:rsidRDefault="0066448F">
      <w:pPr>
        <w:pStyle w:val="Heading2"/>
      </w:pPr>
      <w:bookmarkStart w:id="7" w:name="what-to-expect-after-treatment"/>
      <w:bookmarkEnd w:id="6"/>
      <w:r>
        <w:t>What to Expect After Treatment</w:t>
      </w:r>
    </w:p>
    <w:p w14:paraId="68D14A92" w14:textId="77777777" w:rsidR="00942916" w:rsidRDefault="0066448F">
      <w:pPr>
        <w:pStyle w:val="Compact"/>
        <w:numPr>
          <w:ilvl w:val="0"/>
          <w:numId w:val="7"/>
        </w:numPr>
      </w:pPr>
      <w:r>
        <w:t>Pain relief often begins within days to weeks</w:t>
      </w:r>
    </w:p>
    <w:p w14:paraId="4026B59B" w14:textId="77777777" w:rsidR="00942916" w:rsidRDefault="0066448F">
      <w:pPr>
        <w:pStyle w:val="Compact"/>
        <w:numPr>
          <w:ilvl w:val="0"/>
          <w:numId w:val="7"/>
        </w:numPr>
      </w:pPr>
      <w:r>
        <w:t>Temporary soreness near the injection or incision is common</w:t>
      </w:r>
    </w:p>
    <w:p w14:paraId="2811CABC" w14:textId="77777777" w:rsidR="00942916" w:rsidRDefault="0066448F">
      <w:pPr>
        <w:pStyle w:val="Compact"/>
        <w:numPr>
          <w:ilvl w:val="0"/>
          <w:numId w:val="7"/>
        </w:numPr>
      </w:pPr>
      <w:r>
        <w:t>Gradual return to normal thumb and wrist use</w:t>
      </w:r>
    </w:p>
    <w:p w14:paraId="4D9B5674" w14:textId="77777777" w:rsidR="00942916" w:rsidRDefault="0066448F">
      <w:pPr>
        <w:pStyle w:val="Compact"/>
        <w:numPr>
          <w:ilvl w:val="0"/>
          <w:numId w:val="7"/>
        </w:numPr>
      </w:pPr>
      <w:r>
        <w:t>Most patients regain comfortable motion and function</w:t>
      </w:r>
      <w:bookmarkEnd w:id="0"/>
      <w:bookmarkEnd w:id="7"/>
    </w:p>
    <w:sectPr w:rsidR="0094291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0609BD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53E3C1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65289687">
    <w:abstractNumId w:val="0"/>
  </w:num>
  <w:num w:numId="2" w16cid:durableId="355080462">
    <w:abstractNumId w:val="1"/>
  </w:num>
  <w:num w:numId="3" w16cid:durableId="1137524747">
    <w:abstractNumId w:val="1"/>
  </w:num>
  <w:num w:numId="4" w16cid:durableId="1771700962">
    <w:abstractNumId w:val="1"/>
  </w:num>
  <w:num w:numId="5" w16cid:durableId="579019083">
    <w:abstractNumId w:val="1"/>
  </w:num>
  <w:num w:numId="6" w16cid:durableId="46612888">
    <w:abstractNumId w:val="1"/>
  </w:num>
  <w:num w:numId="7" w16cid:durableId="89628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16"/>
    <w:rsid w:val="00473384"/>
    <w:rsid w:val="0066448F"/>
    <w:rsid w:val="00942916"/>
    <w:rsid w:val="00A273FE"/>
    <w:rsid w:val="00B838CE"/>
    <w:rsid w:val="00CF33A7"/>
    <w:rsid w:val="00E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3DD30"/>
  <w15:docId w15:val="{0BD659B6-9931-45E4-A5B5-3D234888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2026-01-12T16:13:00Z</dcterms:created>
  <dcterms:modified xsi:type="dcterms:W3CDTF">2026-01-12T16:13:00Z</dcterms:modified>
</cp:coreProperties>
</file>