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6A6F72" w:rsidRPr="004B154A" w14:paraId="61406B2F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EA75536" w14:textId="77777777" w:rsidR="006A6F72" w:rsidRPr="004B154A" w:rsidRDefault="006A6F72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X8df6db56bf69ffeb0da05805174a490ad2d8d4e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60800" behindDoc="1" locked="0" layoutInCell="1" allowOverlap="1" wp14:anchorId="26AC2479" wp14:editId="34FFF7D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47CBFF3" w14:textId="77777777" w:rsidR="006A6F72" w:rsidRPr="004B154A" w:rsidRDefault="006A6F72" w:rsidP="008656DA">
            <w:pPr>
              <w:jc w:val="center"/>
              <w:rPr>
                <w:rFonts w:ascii="Proxima Nova" w:hAnsi="Proxima Nova"/>
              </w:rPr>
            </w:pPr>
          </w:p>
          <w:p w14:paraId="00DCA420" w14:textId="77777777" w:rsidR="006A6F72" w:rsidRPr="004B154A" w:rsidRDefault="006A6F72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2B9100BF" w14:textId="77777777" w:rsidR="006A6F72" w:rsidRPr="004B154A" w:rsidRDefault="006A6F72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74D65DCD" w14:textId="77777777" w:rsidR="006A6F72" w:rsidRPr="004B154A" w:rsidRDefault="006A6F72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5ED97293" w14:textId="77777777" w:rsidR="006A6F72" w:rsidRPr="004B154A" w:rsidRDefault="006A6F72" w:rsidP="008656DA">
            <w:pPr>
              <w:jc w:val="right"/>
              <w:rPr>
                <w:rFonts w:ascii="Proxima Nova" w:hAnsi="Proxima Nova"/>
              </w:rPr>
            </w:pPr>
          </w:p>
          <w:p w14:paraId="570D659D" w14:textId="77777777" w:rsidR="006A6F72" w:rsidRPr="004B154A" w:rsidRDefault="006A6F72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38002DAC" w14:textId="77777777" w:rsidR="006A6F72" w:rsidRPr="004B154A" w:rsidRDefault="006A6F72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79E50010" w14:textId="77777777" w:rsidR="006A6F72" w:rsidRPr="004B154A" w:rsidRDefault="006A6F72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7F5CD033" w14:textId="77777777" w:rsidR="006A6F72" w:rsidRPr="0068159B" w:rsidRDefault="006A6F72" w:rsidP="006A6F72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17034670" w14:textId="77777777" w:rsidR="00102E97" w:rsidRPr="006C07E5" w:rsidRDefault="0079683C">
      <w:pPr>
        <w:pStyle w:val="Heading1"/>
        <w:rPr>
          <w:sz w:val="32"/>
          <w:szCs w:val="32"/>
        </w:rPr>
      </w:pPr>
      <w:r w:rsidRPr="006C07E5">
        <w:rPr>
          <w:b/>
          <w:bCs/>
          <w:sz w:val="32"/>
          <w:szCs w:val="32"/>
        </w:rPr>
        <w:t>Cortisone (Steroid) Injection: Patient Education Sheet</w:t>
      </w:r>
    </w:p>
    <w:p w14:paraId="73B1F7CC" w14:textId="77777777" w:rsidR="00102E97" w:rsidRDefault="0079683C">
      <w:pPr>
        <w:pStyle w:val="Heading2"/>
      </w:pPr>
      <w:bookmarkStart w:id="1" w:name="what-is-a-cortisone-injection"/>
      <w:r>
        <w:t>What Is a Cortisone Injection?</w:t>
      </w:r>
    </w:p>
    <w:p w14:paraId="0D7C4765" w14:textId="77777777" w:rsidR="00102E97" w:rsidRDefault="0079683C">
      <w:pPr>
        <w:pStyle w:val="FirstParagraph"/>
      </w:pPr>
      <w:r>
        <w:t xml:space="preserve">A cortisone injection places a </w:t>
      </w:r>
      <w:r>
        <w:rPr>
          <w:b/>
          <w:bCs/>
        </w:rPr>
        <w:t>strong anti-inflammatory medicine</w:t>
      </w:r>
      <w:r>
        <w:t xml:space="preserve"> directly into a </w:t>
      </w:r>
      <w:r>
        <w:rPr>
          <w:b/>
          <w:bCs/>
        </w:rPr>
        <w:t>joint</w:t>
      </w:r>
      <w:r>
        <w:t xml:space="preserve"> (such as arthritis) or </w:t>
      </w:r>
      <w:r>
        <w:rPr>
          <w:b/>
          <w:bCs/>
        </w:rPr>
        <w:t>soft tissue</w:t>
      </w:r>
      <w:r>
        <w:t xml:space="preserve"> (such as tendon or tendon sheath irritation).</w:t>
      </w:r>
      <w:r>
        <w:br/>
        <w:t xml:space="preserve">The goal is to </w:t>
      </w:r>
      <w:r>
        <w:rPr>
          <w:b/>
          <w:bCs/>
        </w:rPr>
        <w:t>reduce pain and swelling</w:t>
      </w:r>
      <w:r>
        <w:t xml:space="preserve"> and improve movement.</w:t>
      </w:r>
    </w:p>
    <w:p w14:paraId="73CBB1F3" w14:textId="77777777" w:rsidR="00102E97" w:rsidRDefault="0079683C">
      <w:pPr>
        <w:pStyle w:val="BodyText"/>
      </w:pPr>
      <w:r>
        <w:t xml:space="preserve">Relief often begins within </w:t>
      </w:r>
      <w:r>
        <w:rPr>
          <w:b/>
          <w:bCs/>
        </w:rPr>
        <w:t>2–7 days</w:t>
      </w:r>
      <w:r>
        <w:t xml:space="preserve"> and may last </w:t>
      </w:r>
      <w:r>
        <w:rPr>
          <w:b/>
          <w:bCs/>
        </w:rPr>
        <w:t>weeks to months</w:t>
      </w:r>
      <w:r>
        <w:t>. Results vary depending on the condition and severity.</w:t>
      </w:r>
    </w:p>
    <w:p w14:paraId="6876A352" w14:textId="77777777" w:rsidR="00102E97" w:rsidRDefault="0079683C">
      <w:r>
        <w:pict w14:anchorId="360D9D2A">
          <v:rect id="_x0000_i1090" style="width:0;height:1.5pt" o:hralign="center" o:hrstd="t" o:hr="t"/>
        </w:pict>
      </w:r>
    </w:p>
    <w:p w14:paraId="2A647E4C" w14:textId="77777777" w:rsidR="00102E97" w:rsidRDefault="0079683C">
      <w:pPr>
        <w:pStyle w:val="Heading2"/>
      </w:pPr>
      <w:bookmarkStart w:id="2" w:name="common-side-effects-usually-temporary"/>
      <w:bookmarkEnd w:id="1"/>
      <w:r>
        <w:t>Common Side Effects (Usually Temporary)</w:t>
      </w:r>
    </w:p>
    <w:p w14:paraId="6C4DE699" w14:textId="77777777" w:rsidR="00102E97" w:rsidRDefault="0079683C">
      <w:pPr>
        <w:pStyle w:val="FirstParagraph"/>
      </w:pPr>
      <w:r>
        <w:t>Listed from more common to less common:</w:t>
      </w:r>
    </w:p>
    <w:p w14:paraId="6E1FF93E" w14:textId="77777777" w:rsidR="006C07E5" w:rsidRDefault="0079683C" w:rsidP="006C07E5">
      <w:pPr>
        <w:pStyle w:val="Compact"/>
        <w:numPr>
          <w:ilvl w:val="0"/>
          <w:numId w:val="2"/>
        </w:numPr>
      </w:pPr>
      <w:r>
        <w:rPr>
          <w:b/>
          <w:bCs/>
        </w:rPr>
        <w:t>Injection site pain or soreness</w:t>
      </w:r>
      <w:r>
        <w:t xml:space="preserve"> (20–40%) – usually lasts 1–3 days</w:t>
      </w:r>
    </w:p>
    <w:p w14:paraId="328F680D" w14:textId="77777777" w:rsidR="006C07E5" w:rsidRDefault="0079683C" w:rsidP="006C07E5">
      <w:pPr>
        <w:pStyle w:val="Compact"/>
        <w:numPr>
          <w:ilvl w:val="0"/>
          <w:numId w:val="2"/>
        </w:numPr>
      </w:pPr>
      <w:r w:rsidRPr="006C07E5">
        <w:rPr>
          <w:b/>
          <w:bCs/>
        </w:rPr>
        <w:t>Steroid “flare”</w:t>
      </w:r>
      <w:r>
        <w:t xml:space="preserve"> (5–10%) – temporary increase in pain for 24–72 hours</w:t>
      </w:r>
    </w:p>
    <w:p w14:paraId="2C6C66A7" w14:textId="61025BFA" w:rsidR="00102E97" w:rsidRDefault="0079683C" w:rsidP="006C07E5">
      <w:pPr>
        <w:pStyle w:val="Compact"/>
        <w:numPr>
          <w:ilvl w:val="0"/>
          <w:numId w:val="2"/>
        </w:numPr>
      </w:pPr>
      <w:r w:rsidRPr="006C07E5">
        <w:rPr>
          <w:b/>
          <w:bCs/>
        </w:rPr>
        <w:t>Temporary blood sugar elevation (patients with diabetes)</w:t>
      </w:r>
      <w:r>
        <w:t xml:space="preserve"> (common)</w:t>
      </w:r>
    </w:p>
    <w:p w14:paraId="6654C6BF" w14:textId="77777777" w:rsidR="006C07E5" w:rsidRDefault="0079683C" w:rsidP="006C07E5">
      <w:pPr>
        <w:pStyle w:val="Compact"/>
        <w:numPr>
          <w:ilvl w:val="1"/>
          <w:numId w:val="3"/>
        </w:numPr>
      </w:pPr>
      <w:r>
        <w:t xml:space="preserve">Typical increase: </w:t>
      </w:r>
      <w:r>
        <w:rPr>
          <w:b/>
          <w:bCs/>
        </w:rPr>
        <w:t>~30–80 mg/dL</w:t>
      </w:r>
      <w:r>
        <w:t xml:space="preserve"> above baseline</w:t>
      </w:r>
    </w:p>
    <w:p w14:paraId="33F72FA2" w14:textId="77777777" w:rsidR="006C07E5" w:rsidRDefault="0079683C" w:rsidP="006C07E5">
      <w:pPr>
        <w:pStyle w:val="Compact"/>
        <w:numPr>
          <w:ilvl w:val="1"/>
          <w:numId w:val="3"/>
        </w:numPr>
      </w:pPr>
      <w:r>
        <w:t xml:space="preserve">Begins within </w:t>
      </w:r>
      <w:r w:rsidRPr="006C07E5">
        <w:rPr>
          <w:b/>
          <w:bCs/>
        </w:rPr>
        <w:t>24 hours</w:t>
      </w:r>
      <w:r>
        <w:t xml:space="preserve"> and usually resolves in </w:t>
      </w:r>
      <w:r w:rsidRPr="006C07E5">
        <w:rPr>
          <w:b/>
          <w:bCs/>
        </w:rPr>
        <w:t>1–3 days</w:t>
      </w:r>
      <w:r>
        <w:t xml:space="preserve"> (occasionally up to 5 days)</w:t>
      </w:r>
    </w:p>
    <w:p w14:paraId="7D69AA60" w14:textId="622B58B6" w:rsidR="00102E97" w:rsidRDefault="0079683C" w:rsidP="006C07E5">
      <w:pPr>
        <w:pStyle w:val="Compact"/>
        <w:numPr>
          <w:ilvl w:val="1"/>
          <w:numId w:val="3"/>
        </w:numPr>
      </w:pPr>
      <w:r w:rsidRPr="006C07E5">
        <w:rPr>
          <w:b/>
          <w:bCs/>
        </w:rPr>
        <w:t>Higher HbA1c levels are associated with larger blood sugar increases</w:t>
      </w:r>
      <w:r>
        <w:br/>
      </w:r>
    </w:p>
    <w:p w14:paraId="6887A298" w14:textId="77777777" w:rsidR="006C07E5" w:rsidRDefault="0079683C" w:rsidP="006C07E5">
      <w:pPr>
        <w:pStyle w:val="Compact"/>
        <w:numPr>
          <w:ilvl w:val="0"/>
          <w:numId w:val="2"/>
        </w:numPr>
      </w:pPr>
      <w:r>
        <w:rPr>
          <w:b/>
          <w:bCs/>
        </w:rPr>
        <w:t>Skin color change or skin thinning</w:t>
      </w:r>
      <w:r>
        <w:t xml:space="preserve"> at injection site (1–5%)</w:t>
      </w:r>
    </w:p>
    <w:p w14:paraId="555E1FBD" w14:textId="28B951E6" w:rsidR="00102E97" w:rsidRDefault="0079683C" w:rsidP="006C07E5">
      <w:pPr>
        <w:pStyle w:val="Compact"/>
        <w:numPr>
          <w:ilvl w:val="0"/>
          <w:numId w:val="2"/>
        </w:numPr>
      </w:pPr>
      <w:r w:rsidRPr="006C07E5">
        <w:rPr>
          <w:b/>
          <w:bCs/>
        </w:rPr>
        <w:t>Facial flushing or warmth</w:t>
      </w:r>
      <w:r>
        <w:t xml:space="preserve"> (1–5%)</w:t>
      </w:r>
    </w:p>
    <w:p w14:paraId="16F475B9" w14:textId="77777777" w:rsidR="00102E97" w:rsidRDefault="0079683C">
      <w:r>
        <w:pict w14:anchorId="435329FA">
          <v:rect id="_x0000_i1091" style="width:0;height:1.5pt" o:hralign="center" o:hrstd="t" o:hr="t"/>
        </w:pict>
      </w:r>
    </w:p>
    <w:p w14:paraId="3B54E870" w14:textId="77777777" w:rsidR="00102E97" w:rsidRDefault="0079683C">
      <w:pPr>
        <w:pStyle w:val="Heading2"/>
      </w:pPr>
      <w:bookmarkStart w:id="3" w:name="less-common-but-important-risks"/>
      <w:bookmarkEnd w:id="2"/>
      <w:r>
        <w:t>Less Common but Important Risks</w:t>
      </w:r>
    </w:p>
    <w:p w14:paraId="5F52888B" w14:textId="77777777" w:rsidR="000717F3" w:rsidRDefault="0079683C" w:rsidP="000717F3">
      <w:pPr>
        <w:pStyle w:val="Compact"/>
        <w:numPr>
          <w:ilvl w:val="0"/>
          <w:numId w:val="4"/>
        </w:numPr>
      </w:pPr>
      <w:r>
        <w:rPr>
          <w:b/>
          <w:bCs/>
        </w:rPr>
        <w:t>Tendon weakening or rupture</w:t>
      </w:r>
      <w:r>
        <w:t xml:space="preserve"> (rare; risk increases with repeated injections)</w:t>
      </w:r>
    </w:p>
    <w:p w14:paraId="20A8A3E2" w14:textId="77777777" w:rsidR="000717F3" w:rsidRDefault="0079683C" w:rsidP="000717F3">
      <w:pPr>
        <w:pStyle w:val="Compact"/>
        <w:numPr>
          <w:ilvl w:val="0"/>
          <w:numId w:val="4"/>
        </w:numPr>
      </w:pPr>
      <w:r w:rsidRPr="000717F3">
        <w:rPr>
          <w:b/>
          <w:bCs/>
        </w:rPr>
        <w:t>Fat atrophy (small dent under the skin)</w:t>
      </w:r>
      <w:r>
        <w:t xml:space="preserve"> (&lt;1–2%)</w:t>
      </w:r>
    </w:p>
    <w:p w14:paraId="47119CC9" w14:textId="77777777" w:rsidR="000717F3" w:rsidRDefault="0079683C" w:rsidP="000717F3">
      <w:pPr>
        <w:pStyle w:val="Compact"/>
        <w:numPr>
          <w:ilvl w:val="0"/>
          <w:numId w:val="4"/>
        </w:numPr>
      </w:pPr>
      <w:r w:rsidRPr="000717F3">
        <w:rPr>
          <w:b/>
          <w:bCs/>
        </w:rPr>
        <w:lastRenderedPageBreak/>
        <w:t>Infection</w:t>
      </w:r>
      <w:r>
        <w:t xml:space="preserve"> (&lt;0.1–0.5%)</w:t>
      </w:r>
    </w:p>
    <w:p w14:paraId="5A524E67" w14:textId="77777777" w:rsidR="000717F3" w:rsidRDefault="0079683C" w:rsidP="000717F3">
      <w:pPr>
        <w:pStyle w:val="Compact"/>
        <w:numPr>
          <w:ilvl w:val="0"/>
          <w:numId w:val="4"/>
        </w:numPr>
      </w:pPr>
      <w:r w:rsidRPr="000717F3">
        <w:rPr>
          <w:b/>
          <w:bCs/>
        </w:rPr>
        <w:t>Bleeding or bruising</w:t>
      </w:r>
      <w:r>
        <w:t xml:space="preserve"> (&lt;1%; higher if on blood thinners)</w:t>
      </w:r>
    </w:p>
    <w:p w14:paraId="59843890" w14:textId="6E8408CB" w:rsidR="00102E97" w:rsidRDefault="0079683C" w:rsidP="000717F3">
      <w:pPr>
        <w:pStyle w:val="Compact"/>
        <w:numPr>
          <w:ilvl w:val="0"/>
          <w:numId w:val="4"/>
        </w:numPr>
      </w:pPr>
      <w:r w:rsidRPr="000717F3">
        <w:rPr>
          <w:b/>
          <w:bCs/>
        </w:rPr>
        <w:t>Allergic reaction</w:t>
      </w:r>
      <w:r>
        <w:t xml:space="preserve"> (very rare, &lt;1%)</w:t>
      </w:r>
    </w:p>
    <w:p w14:paraId="407AE386" w14:textId="77777777" w:rsidR="00102E97" w:rsidRDefault="0079683C">
      <w:r>
        <w:pict w14:anchorId="687E3C40">
          <v:rect id="_x0000_i1092" style="width:0;height:1.5pt" o:hralign="center" o:hrstd="t" o:hr="t"/>
        </w:pict>
      </w:r>
    </w:p>
    <w:p w14:paraId="45776525" w14:textId="77777777" w:rsidR="00102E97" w:rsidRDefault="0079683C">
      <w:pPr>
        <w:pStyle w:val="Heading2"/>
      </w:pPr>
      <w:bookmarkStart w:id="4" w:name="how-often-can-injections-be-repeated"/>
      <w:bookmarkEnd w:id="3"/>
      <w:r>
        <w:t>How Often Can Injections Be Repeated?</w:t>
      </w:r>
    </w:p>
    <w:p w14:paraId="107011A3" w14:textId="77777777" w:rsidR="00102E97" w:rsidRDefault="0079683C">
      <w:pPr>
        <w:pStyle w:val="FirstParagraph"/>
      </w:pPr>
      <w:r>
        <w:t>To reduce the risk of tissue damage, injections should be spaced appropriately:</w:t>
      </w:r>
    </w:p>
    <w:p w14:paraId="366161D9" w14:textId="77777777" w:rsidR="00102E97" w:rsidRDefault="0079683C">
      <w:pPr>
        <w:pStyle w:val="Heading3"/>
      </w:pPr>
      <w:bookmarkStart w:id="5" w:name="soft-tissue-conditions"/>
      <w:r>
        <w:rPr>
          <w:b/>
          <w:bCs/>
        </w:rPr>
        <w:t>Soft Tissue Conditions</w:t>
      </w:r>
    </w:p>
    <w:p w14:paraId="7F1FCA1A" w14:textId="3A4173C7" w:rsidR="000717F3" w:rsidRDefault="0079683C">
      <w:pPr>
        <w:pStyle w:val="FirstParagraph"/>
        <w:rPr>
          <w:b/>
          <w:bCs/>
        </w:rPr>
      </w:pPr>
      <w:r>
        <w:rPr>
          <w:i/>
          <w:iCs/>
        </w:rPr>
        <w:t>(tendonitis, trigger finger, De Quervain’s, bursitis)</w:t>
      </w:r>
    </w:p>
    <w:p w14:paraId="5F46CD5E" w14:textId="77777777" w:rsidR="000717F3" w:rsidRDefault="0079683C" w:rsidP="000717F3">
      <w:pPr>
        <w:pStyle w:val="FirstParagraph"/>
        <w:numPr>
          <w:ilvl w:val="0"/>
          <w:numId w:val="7"/>
        </w:numPr>
      </w:pPr>
      <w:r>
        <w:rPr>
          <w:b/>
          <w:bCs/>
        </w:rPr>
        <w:t>Minimum interval:</w:t>
      </w:r>
      <w:r>
        <w:t xml:space="preserve"> </w:t>
      </w:r>
      <w:r>
        <w:rPr>
          <w:b/>
          <w:bCs/>
        </w:rPr>
        <w:t>Every 6 weeks</w:t>
      </w:r>
    </w:p>
    <w:p w14:paraId="50F38E2F" w14:textId="61CBB760" w:rsidR="00102E97" w:rsidRDefault="0079683C" w:rsidP="000717F3">
      <w:pPr>
        <w:pStyle w:val="FirstParagraph"/>
        <w:numPr>
          <w:ilvl w:val="0"/>
          <w:numId w:val="7"/>
        </w:numPr>
      </w:pPr>
      <w:r>
        <w:rPr>
          <w:b/>
          <w:bCs/>
        </w:rPr>
        <w:t>Typical limit:</w:t>
      </w:r>
      <w:r>
        <w:t xml:space="preserve"> No more than </w:t>
      </w:r>
      <w:r>
        <w:rPr>
          <w:b/>
          <w:bCs/>
        </w:rPr>
        <w:t>2–3 injections per year</w:t>
      </w:r>
      <w:r>
        <w:t xml:space="preserve"> in the same area</w:t>
      </w:r>
    </w:p>
    <w:p w14:paraId="2AA27E70" w14:textId="77777777" w:rsidR="00102E97" w:rsidRDefault="0079683C">
      <w:pPr>
        <w:pStyle w:val="Heading3"/>
      </w:pPr>
      <w:bookmarkStart w:id="6" w:name="joint-conditions-arthritis"/>
      <w:bookmarkEnd w:id="5"/>
      <w:r>
        <w:rPr>
          <w:b/>
          <w:bCs/>
        </w:rPr>
        <w:t>Joint Conditions (Arthritis)</w:t>
      </w:r>
    </w:p>
    <w:p w14:paraId="67E275F9" w14:textId="77777777" w:rsidR="000717F3" w:rsidRDefault="0079683C">
      <w:pPr>
        <w:pStyle w:val="FirstParagraph"/>
      </w:pPr>
      <w:r>
        <w:rPr>
          <w:i/>
          <w:iCs/>
        </w:rPr>
        <w:t>(finger, wrist, thumb CMC, and other joints)</w:t>
      </w:r>
    </w:p>
    <w:p w14:paraId="455EEB5B" w14:textId="77777777" w:rsidR="000717F3" w:rsidRDefault="0079683C" w:rsidP="000717F3">
      <w:pPr>
        <w:pStyle w:val="FirstParagraph"/>
        <w:numPr>
          <w:ilvl w:val="0"/>
          <w:numId w:val="8"/>
        </w:numPr>
      </w:pPr>
      <w:r>
        <w:rPr>
          <w:b/>
          <w:bCs/>
        </w:rPr>
        <w:t>Minimum interval:</w:t>
      </w:r>
      <w:r>
        <w:t xml:space="preserve"> </w:t>
      </w:r>
      <w:r>
        <w:rPr>
          <w:b/>
          <w:bCs/>
        </w:rPr>
        <w:t>Every 3 months</w:t>
      </w:r>
    </w:p>
    <w:p w14:paraId="36D94E9A" w14:textId="618BA5A7" w:rsidR="00102E97" w:rsidRDefault="0079683C" w:rsidP="000717F3">
      <w:pPr>
        <w:pStyle w:val="FirstParagraph"/>
        <w:numPr>
          <w:ilvl w:val="0"/>
          <w:numId w:val="8"/>
        </w:numPr>
      </w:pPr>
      <w:r>
        <w:rPr>
          <w:b/>
          <w:bCs/>
        </w:rPr>
        <w:t>Typical limit:</w:t>
      </w:r>
      <w:r>
        <w:t xml:space="preserve"> No more than </w:t>
      </w:r>
      <w:r>
        <w:rPr>
          <w:b/>
          <w:bCs/>
        </w:rPr>
        <w:t>3–4 injections per joint per year</w:t>
      </w:r>
    </w:p>
    <w:p w14:paraId="49A94176" w14:textId="77777777" w:rsidR="00102E97" w:rsidRDefault="0079683C">
      <w:pPr>
        <w:pStyle w:val="BodyText"/>
      </w:pPr>
      <w:r>
        <w:t>Repeated injections too close together may weaken tendons, thin cartilage, or reduce long-term effectiveness.</w:t>
      </w:r>
    </w:p>
    <w:p w14:paraId="7D412BB2" w14:textId="77777777" w:rsidR="00102E97" w:rsidRDefault="0079683C">
      <w:r>
        <w:pict w14:anchorId="4DDA5AAF">
          <v:rect id="_x0000_i1093" style="width:0;height:1.5pt" o:hralign="center" o:hrstd="t" o:hr="t"/>
        </w:pict>
      </w:r>
    </w:p>
    <w:p w14:paraId="48365814" w14:textId="77777777" w:rsidR="00102E97" w:rsidRDefault="0079683C" w:rsidP="0039783B">
      <w:pPr>
        <w:pStyle w:val="Heading2"/>
        <w:spacing w:before="0" w:after="0"/>
      </w:pPr>
      <w:bookmarkStart w:id="7" w:name="after-the-injection"/>
      <w:bookmarkEnd w:id="4"/>
      <w:bookmarkEnd w:id="6"/>
      <w:r>
        <w:t>After the Injection</w:t>
      </w:r>
    </w:p>
    <w:p w14:paraId="60359BDF" w14:textId="77777777" w:rsidR="000717F3" w:rsidRDefault="0079683C" w:rsidP="000717F3">
      <w:pPr>
        <w:pStyle w:val="Compact"/>
        <w:numPr>
          <w:ilvl w:val="0"/>
          <w:numId w:val="5"/>
        </w:numPr>
        <w:spacing w:before="0" w:after="0"/>
      </w:pPr>
      <w:r>
        <w:t xml:space="preserve">Rest the area for </w:t>
      </w:r>
      <w:r>
        <w:rPr>
          <w:b/>
          <w:bCs/>
        </w:rPr>
        <w:t>24–48 hours</w:t>
      </w:r>
    </w:p>
    <w:p w14:paraId="4170EFE4" w14:textId="77777777" w:rsidR="000717F3" w:rsidRDefault="0079683C" w:rsidP="000717F3">
      <w:pPr>
        <w:pStyle w:val="Compact"/>
        <w:numPr>
          <w:ilvl w:val="0"/>
          <w:numId w:val="5"/>
        </w:numPr>
        <w:spacing w:before="0" w:after="0"/>
      </w:pPr>
      <w:r>
        <w:t>Ice may help with soreness</w:t>
      </w:r>
    </w:p>
    <w:p w14:paraId="484049A7" w14:textId="77777777" w:rsidR="000717F3" w:rsidRDefault="0079683C" w:rsidP="000717F3">
      <w:pPr>
        <w:pStyle w:val="Compact"/>
        <w:numPr>
          <w:ilvl w:val="0"/>
          <w:numId w:val="5"/>
        </w:numPr>
        <w:spacing w:before="0" w:after="0"/>
      </w:pPr>
      <w:r>
        <w:t xml:space="preserve">Avoid heavy lifting or forceful gripping for </w:t>
      </w:r>
      <w:r w:rsidRPr="000717F3">
        <w:rPr>
          <w:b/>
          <w:bCs/>
        </w:rPr>
        <w:t>1–2 days</w:t>
      </w:r>
    </w:p>
    <w:p w14:paraId="66F0527D" w14:textId="63E7A20A" w:rsidR="00102E97" w:rsidRDefault="0079683C" w:rsidP="000717F3">
      <w:pPr>
        <w:pStyle w:val="Compact"/>
        <w:numPr>
          <w:ilvl w:val="0"/>
          <w:numId w:val="5"/>
        </w:numPr>
        <w:spacing w:before="0" w:after="0"/>
      </w:pPr>
      <w:r>
        <w:t xml:space="preserve">Contact the office </w:t>
      </w:r>
      <w:proofErr w:type="gramStart"/>
      <w:r>
        <w:t xml:space="preserve">for </w:t>
      </w:r>
      <w:r w:rsidRPr="000717F3">
        <w:rPr>
          <w:b/>
          <w:bCs/>
        </w:rPr>
        <w:t>increasing</w:t>
      </w:r>
      <w:proofErr w:type="gramEnd"/>
      <w:r w:rsidRPr="000717F3">
        <w:rPr>
          <w:b/>
          <w:bCs/>
        </w:rPr>
        <w:t xml:space="preserve"> redness, warmth, fever, or worsening pain after 48 hours</w:t>
      </w:r>
    </w:p>
    <w:p w14:paraId="2C998204" w14:textId="77777777" w:rsidR="00102E97" w:rsidRDefault="0079683C" w:rsidP="0039783B">
      <w:pPr>
        <w:spacing w:after="0"/>
      </w:pPr>
      <w:r>
        <w:pict w14:anchorId="4CD5D9F1">
          <v:rect id="_x0000_i1094" style="width:0;height:1.5pt" o:hralign="center" o:hrstd="t" o:hr="t"/>
        </w:pict>
      </w:r>
    </w:p>
    <w:p w14:paraId="3BEEBB84" w14:textId="77777777" w:rsidR="000717F3" w:rsidRDefault="000717F3" w:rsidP="0039783B">
      <w:pPr>
        <w:pStyle w:val="Heading2"/>
        <w:spacing w:before="0" w:after="0"/>
      </w:pPr>
      <w:bookmarkStart w:id="8" w:name="when-injections-may-not-be-recommended"/>
      <w:bookmarkEnd w:id="7"/>
    </w:p>
    <w:p w14:paraId="181DAFEB" w14:textId="65565459" w:rsidR="00102E97" w:rsidRDefault="0079683C" w:rsidP="0039783B">
      <w:pPr>
        <w:pStyle w:val="Heading2"/>
        <w:spacing w:before="0" w:after="0"/>
      </w:pPr>
      <w:r>
        <w:t>When Injections May Not Be Recommended</w:t>
      </w:r>
    </w:p>
    <w:p w14:paraId="6477F8EE" w14:textId="77777777" w:rsidR="000717F3" w:rsidRDefault="0079683C" w:rsidP="000717F3">
      <w:pPr>
        <w:pStyle w:val="Compact"/>
        <w:numPr>
          <w:ilvl w:val="0"/>
          <w:numId w:val="6"/>
        </w:numPr>
        <w:spacing w:before="0" w:after="0"/>
      </w:pPr>
      <w:r>
        <w:t>Active infection</w:t>
      </w:r>
    </w:p>
    <w:p w14:paraId="151F94E9" w14:textId="77777777" w:rsidR="000717F3" w:rsidRDefault="0079683C" w:rsidP="000717F3">
      <w:pPr>
        <w:pStyle w:val="Compact"/>
        <w:numPr>
          <w:ilvl w:val="0"/>
          <w:numId w:val="6"/>
        </w:numPr>
        <w:spacing w:before="0" w:after="0"/>
      </w:pPr>
      <w:r>
        <w:t>Poorly controlled diabetes</w:t>
      </w:r>
    </w:p>
    <w:p w14:paraId="334AF7FF" w14:textId="77777777" w:rsidR="000717F3" w:rsidRDefault="0079683C" w:rsidP="000717F3">
      <w:pPr>
        <w:pStyle w:val="Compact"/>
        <w:numPr>
          <w:ilvl w:val="0"/>
          <w:numId w:val="6"/>
        </w:numPr>
        <w:spacing w:before="0" w:after="0"/>
      </w:pPr>
      <w:r>
        <w:t>Certain tendon locations with higher rupture risk</w:t>
      </w:r>
    </w:p>
    <w:p w14:paraId="002567D9" w14:textId="338292EA" w:rsidR="00102E97" w:rsidRDefault="0079683C" w:rsidP="000717F3">
      <w:pPr>
        <w:pStyle w:val="Compact"/>
        <w:numPr>
          <w:ilvl w:val="0"/>
          <w:numId w:val="6"/>
        </w:numPr>
        <w:spacing w:before="0" w:after="0"/>
      </w:pPr>
      <w:r>
        <w:t>When prior injections no longer provide meaningful relief</w:t>
      </w:r>
      <w:bookmarkEnd w:id="0"/>
      <w:bookmarkEnd w:id="8"/>
    </w:p>
    <w:sectPr w:rsidR="00102E9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F8A453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A295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5D7682"/>
    <w:multiLevelType w:val="hybridMultilevel"/>
    <w:tmpl w:val="7C0A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867E8"/>
    <w:multiLevelType w:val="hybridMultilevel"/>
    <w:tmpl w:val="1D629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2966263">
    <w:abstractNumId w:val="0"/>
  </w:num>
  <w:num w:numId="2" w16cid:durableId="1919054381">
    <w:abstractNumId w:val="1"/>
  </w:num>
  <w:num w:numId="3" w16cid:durableId="200365182">
    <w:abstractNumId w:val="1"/>
  </w:num>
  <w:num w:numId="4" w16cid:durableId="700865830">
    <w:abstractNumId w:val="1"/>
  </w:num>
  <w:num w:numId="5" w16cid:durableId="1637948208">
    <w:abstractNumId w:val="1"/>
  </w:num>
  <w:num w:numId="6" w16cid:durableId="174654082">
    <w:abstractNumId w:val="1"/>
  </w:num>
  <w:num w:numId="7" w16cid:durableId="1071152553">
    <w:abstractNumId w:val="2"/>
  </w:num>
  <w:num w:numId="8" w16cid:durableId="183371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97"/>
    <w:rsid w:val="000717F3"/>
    <w:rsid w:val="000B4BC4"/>
    <w:rsid w:val="00102E97"/>
    <w:rsid w:val="0039783B"/>
    <w:rsid w:val="006A6F72"/>
    <w:rsid w:val="006C07E5"/>
    <w:rsid w:val="0079683C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7AEA357"/>
  <w15:docId w15:val="{BA364955-A212-4836-83FA-B3E1E84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 Lucci</dc:creator>
  <cp:keywords/>
  <cp:lastModifiedBy>Marissa Lucci</cp:lastModifiedBy>
  <cp:revision>2</cp:revision>
  <dcterms:created xsi:type="dcterms:W3CDTF">2026-01-12T16:09:00Z</dcterms:created>
  <dcterms:modified xsi:type="dcterms:W3CDTF">2026-01-12T16:09:00Z</dcterms:modified>
</cp:coreProperties>
</file>