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4B154A" w:rsidRPr="004B154A" w14:paraId="5EBCA244" w14:textId="77777777" w:rsidTr="004B154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EC0EE98" w14:textId="1DD70BA8" w:rsidR="004B154A" w:rsidRPr="004B154A" w:rsidRDefault="004B154A" w:rsidP="0068159B">
            <w:pPr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58240" behindDoc="1" locked="0" layoutInCell="1" allowOverlap="1" wp14:anchorId="191E6978" wp14:editId="1FF32E23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13809232" w14:textId="77777777" w:rsidR="004B154A" w:rsidRPr="004B154A" w:rsidRDefault="004B154A" w:rsidP="0068159B">
            <w:pPr>
              <w:jc w:val="center"/>
              <w:rPr>
                <w:rFonts w:ascii="Proxima Nova" w:hAnsi="Proxima Nova"/>
              </w:rPr>
            </w:pPr>
          </w:p>
          <w:p w14:paraId="67FC57BB" w14:textId="742A3D5A" w:rsidR="004B154A" w:rsidRPr="004B154A" w:rsidRDefault="004B154A" w:rsidP="0068159B">
            <w:pPr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56BE8004" w14:textId="31FA26C6" w:rsidR="004B154A" w:rsidRPr="004B154A" w:rsidRDefault="004B154A" w:rsidP="0068159B">
            <w:pPr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6542068C" w14:textId="64AE3AF7" w:rsidR="004B154A" w:rsidRPr="004B154A" w:rsidRDefault="004B154A" w:rsidP="0068159B">
            <w:pPr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1A94D338" w14:textId="77777777" w:rsidR="004B154A" w:rsidRPr="004B154A" w:rsidRDefault="004B154A" w:rsidP="0068159B">
            <w:pPr>
              <w:jc w:val="right"/>
              <w:rPr>
                <w:rFonts w:ascii="Proxima Nova" w:hAnsi="Proxima Nova"/>
              </w:rPr>
            </w:pPr>
          </w:p>
          <w:p w14:paraId="30F7182D" w14:textId="3EC10C12" w:rsidR="004B154A" w:rsidRPr="004B154A" w:rsidRDefault="004B154A" w:rsidP="0068159B">
            <w:pPr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126751C3" w14:textId="7FC0AE58" w:rsidR="004B154A" w:rsidRPr="004B154A" w:rsidRDefault="004B154A" w:rsidP="0068159B">
            <w:pPr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</w:t>
            </w:r>
            <w:r w:rsidRPr="004B154A">
              <w:rPr>
                <w:rFonts w:ascii="Proxima Nova" w:hAnsi="Proxima Nova"/>
              </w:rPr>
              <w:t>:</w:t>
            </w:r>
            <w:r w:rsidRPr="004B154A">
              <w:rPr>
                <w:rFonts w:ascii="Proxima Nova" w:hAnsi="Proxima Nova"/>
              </w:rPr>
              <w:t xml:space="preserve"> 603.594.0134</w:t>
            </w:r>
          </w:p>
          <w:p w14:paraId="20B87065" w14:textId="77777777" w:rsidR="004B154A" w:rsidRPr="004B154A" w:rsidRDefault="004B154A" w:rsidP="0068159B">
            <w:pPr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750E07F9" w14:textId="0DBB0F04" w:rsidR="004B154A" w:rsidRPr="0068159B" w:rsidRDefault="004B154A" w:rsidP="0068159B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1B218B7E" w14:textId="274E71ED" w:rsidR="004B154A" w:rsidRPr="004B154A" w:rsidRDefault="004B154A" w:rsidP="0068159B">
      <w:pPr>
        <w:pStyle w:val="Heading1"/>
        <w:spacing w:after="160"/>
        <w:rPr>
          <w:b/>
          <w:bCs/>
          <w:color w:val="003462"/>
          <w:sz w:val="32"/>
          <w:szCs w:val="32"/>
        </w:rPr>
      </w:pPr>
      <w:r w:rsidRPr="004B154A">
        <w:rPr>
          <w:b/>
          <w:bCs/>
          <w:color w:val="003462"/>
          <w:sz w:val="32"/>
          <w:szCs w:val="32"/>
        </w:rPr>
        <w:t>Boxer’s Fracture (5th Metacarpal Fracture): Patient Education Sheet</w:t>
      </w:r>
      <w:bookmarkStart w:id="0" w:name="Xd323832feeed6160afc5d306164501472cbc4d8"/>
      <w:bookmarkStart w:id="1" w:name="what-is-a-boxers-fracture"/>
      <w:r w:rsidR="0068159B">
        <w:rPr>
          <w:b/>
          <w:bCs/>
          <w:color w:val="003462"/>
          <w:sz w:val="32"/>
          <w:szCs w:val="32"/>
        </w:rPr>
        <w:br/>
      </w:r>
      <w:r>
        <w:rPr>
          <w:sz w:val="32"/>
          <w:szCs w:val="32"/>
        </w:rPr>
        <w:br/>
      </w:r>
      <w:r w:rsidRPr="004B154A">
        <w:rPr>
          <w:sz w:val="32"/>
          <w:szCs w:val="32"/>
        </w:rPr>
        <w:t>What Is a Boxer’s Fracture?</w:t>
      </w:r>
    </w:p>
    <w:p w14:paraId="70F12A6D" w14:textId="2DEC8913" w:rsidR="004B154A" w:rsidRDefault="004B154A" w:rsidP="0068159B">
      <w:pPr>
        <w:pStyle w:val="FirstParagraph"/>
        <w:spacing w:before="0" w:after="160"/>
      </w:pPr>
      <w:r>
        <w:t xml:space="preserve">A boxer’s fracture is a </w:t>
      </w:r>
      <w:r>
        <w:rPr>
          <w:b/>
          <w:bCs/>
        </w:rPr>
        <w:t>break of the small finger metacarpal</w:t>
      </w:r>
      <w:r>
        <w:t xml:space="preserve">, most often at the </w:t>
      </w:r>
      <w:r>
        <w:rPr>
          <w:b/>
          <w:bCs/>
        </w:rPr>
        <w:t>neck of the bone just below the knuckle</w:t>
      </w:r>
      <w:r>
        <w:t>.</w:t>
      </w:r>
      <w:r>
        <w:br/>
        <w:t xml:space="preserve">It commonly occurs after </w:t>
      </w:r>
      <w:r>
        <w:rPr>
          <w:b/>
          <w:bCs/>
        </w:rPr>
        <w:t>punching an object</w:t>
      </w:r>
      <w:r>
        <w:t>, falling on a closed fist, or a direct blow to the hand.</w:t>
      </w:r>
    </w:p>
    <w:p w14:paraId="6EF586A4" w14:textId="77777777" w:rsidR="004B154A" w:rsidRDefault="004B154A" w:rsidP="0068159B">
      <w:r>
        <w:pict w14:anchorId="14746B6B">
          <v:rect id="_x0000_i1296" style="width:0;height:1.5pt" o:hralign="center" o:hrstd="t" o:hr="t"/>
        </w:pict>
      </w:r>
    </w:p>
    <w:p w14:paraId="5C3B22E9" w14:textId="77777777" w:rsidR="004B154A" w:rsidRDefault="004B154A" w:rsidP="0068159B">
      <w:pPr>
        <w:pStyle w:val="Heading2"/>
        <w:spacing w:before="0" w:after="160"/>
      </w:pPr>
      <w:bookmarkStart w:id="2" w:name="common-symptoms"/>
      <w:bookmarkEnd w:id="1"/>
      <w:r>
        <w:t>Common Symptoms</w:t>
      </w:r>
    </w:p>
    <w:p w14:paraId="67D69944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 xml:space="preserve">Pain and swelling on the </w:t>
      </w:r>
      <w:r>
        <w:rPr>
          <w:b/>
          <w:bCs/>
        </w:rPr>
        <w:t>outside of the hand</w:t>
      </w:r>
    </w:p>
    <w:p w14:paraId="7BC3B7B3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Bruising</w:t>
      </w:r>
    </w:p>
    <w:p w14:paraId="62C0287A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Difficulty making a fist</w:t>
      </w:r>
    </w:p>
    <w:p w14:paraId="1F9CD198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Tenderness over the small finger knuckle</w:t>
      </w:r>
    </w:p>
    <w:p w14:paraId="2DC0B560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proofErr w:type="gramStart"/>
      <w:r>
        <w:t>Knuckle</w:t>
      </w:r>
      <w:proofErr w:type="gramEnd"/>
      <w:r>
        <w:t xml:space="preserve"> may appear </w:t>
      </w:r>
      <w:r w:rsidRPr="0068159B">
        <w:rPr>
          <w:b/>
          <w:bCs/>
        </w:rPr>
        <w:t>less prominent</w:t>
      </w:r>
    </w:p>
    <w:p w14:paraId="166A707F" w14:textId="5247F64C" w:rsidR="004B154A" w:rsidRDefault="004B154A" w:rsidP="0068159B">
      <w:pPr>
        <w:pStyle w:val="Compact"/>
        <w:numPr>
          <w:ilvl w:val="0"/>
          <w:numId w:val="1"/>
        </w:numPr>
        <w:spacing w:before="0" w:after="160"/>
      </w:pPr>
      <w:r w:rsidRPr="0068159B">
        <w:rPr>
          <w:b/>
          <w:bCs/>
        </w:rPr>
        <w:t>Finger rotation</w:t>
      </w:r>
      <w:r>
        <w:t xml:space="preserve"> (finger crossing when making a fist)</w:t>
      </w:r>
    </w:p>
    <w:p w14:paraId="0C6A7AD4" w14:textId="77777777" w:rsidR="004B154A" w:rsidRDefault="004B154A" w:rsidP="0068159B">
      <w:r>
        <w:pict w14:anchorId="51499F05">
          <v:rect id="_x0000_i1297" style="width:0;height:1.5pt" o:hralign="center" o:hrstd="t" o:hr="t"/>
        </w:pict>
      </w:r>
    </w:p>
    <w:p w14:paraId="6BF6BD74" w14:textId="2E64FC1F" w:rsidR="004B154A" w:rsidRDefault="004B154A" w:rsidP="0068159B">
      <w:pPr>
        <w:pStyle w:val="Heading2"/>
        <w:spacing w:before="0" w:after="160"/>
      </w:pPr>
      <w:bookmarkStart w:id="3" w:name="how-is-it-diagnosed"/>
      <w:bookmarkEnd w:id="2"/>
      <w:r>
        <w:t>How Is It Diagnosed?</w:t>
      </w:r>
    </w:p>
    <w:p w14:paraId="1746F328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rPr>
          <w:b/>
          <w:bCs/>
        </w:rPr>
        <w:t>X-rays</w:t>
      </w:r>
      <w:r>
        <w:t xml:space="preserve"> confirm the fracture and alignment</w:t>
      </w:r>
    </w:p>
    <w:p w14:paraId="643E96D4" w14:textId="6D1D4758" w:rsidR="004B154A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 xml:space="preserve">The hand is examined for </w:t>
      </w:r>
      <w:r w:rsidRPr="0068159B">
        <w:rPr>
          <w:b/>
          <w:bCs/>
        </w:rPr>
        <w:t>finger rotation</w:t>
      </w:r>
      <w:r>
        <w:t>, which is not acceptable</w:t>
      </w:r>
    </w:p>
    <w:p w14:paraId="502D1CDB" w14:textId="77777777" w:rsidR="004B154A" w:rsidRDefault="004B154A" w:rsidP="0068159B">
      <w:r>
        <w:pict w14:anchorId="106650AC">
          <v:rect id="_x0000_i1298" style="width:0;height:1.5pt" o:hralign="center" o:hrstd="t" o:hr="t"/>
        </w:pict>
      </w:r>
    </w:p>
    <w:p w14:paraId="6DB8CF3A" w14:textId="77777777" w:rsidR="004B154A" w:rsidRDefault="004B154A" w:rsidP="0068159B">
      <w:pPr>
        <w:pStyle w:val="Heading2"/>
        <w:spacing w:before="0" w:after="160"/>
      </w:pPr>
      <w:bookmarkStart w:id="4" w:name="non-surgical-treatment-options"/>
      <w:bookmarkEnd w:id="3"/>
      <w:r>
        <w:lastRenderedPageBreak/>
        <w:t>Non-Surgical Treatment Options</w:t>
      </w:r>
    </w:p>
    <w:p w14:paraId="424E14B7" w14:textId="487D8945" w:rsidR="0068159B" w:rsidRDefault="004B154A" w:rsidP="0068159B">
      <w:pPr>
        <w:pStyle w:val="FirstParagraph"/>
        <w:spacing w:before="0" w:after="160"/>
      </w:pPr>
      <w:r>
        <w:t xml:space="preserve">Most boxer’s fractures can be treated </w:t>
      </w:r>
      <w:r>
        <w:rPr>
          <w:b/>
          <w:bCs/>
        </w:rPr>
        <w:t>without surgery</w:t>
      </w:r>
      <w:r>
        <w:t xml:space="preserve"> when there is </w:t>
      </w:r>
      <w:r>
        <w:rPr>
          <w:b/>
          <w:bCs/>
        </w:rPr>
        <w:t>no finger rotation</w:t>
      </w:r>
      <w:r>
        <w:t xml:space="preserve"> and the fracture is stable.</w:t>
      </w:r>
    </w:p>
    <w:p w14:paraId="3A5F3161" w14:textId="77777777" w:rsidR="0068159B" w:rsidRPr="0068159B" w:rsidRDefault="0068159B" w:rsidP="0068159B">
      <w:pPr>
        <w:pStyle w:val="BodyText"/>
      </w:pPr>
    </w:p>
    <w:p w14:paraId="321AE3F4" w14:textId="77777777" w:rsidR="004B154A" w:rsidRDefault="004B154A" w:rsidP="0068159B">
      <w:pPr>
        <w:pStyle w:val="Heading3"/>
        <w:spacing w:before="0" w:after="160"/>
      </w:pPr>
      <w:bookmarkStart w:id="5" w:name="buddy-taping-ace-wrap-or-soft-wrap"/>
      <w:r>
        <w:rPr>
          <w:b/>
          <w:bCs/>
        </w:rPr>
        <w:t>Buddy Taping + ACE Wrap (or Soft Wrap)</w:t>
      </w:r>
    </w:p>
    <w:p w14:paraId="39C06BCE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Small finger taped to the ring finger with a light wrap for support</w:t>
      </w:r>
    </w:p>
    <w:p w14:paraId="1BE713B2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 xml:space="preserve">Allows </w:t>
      </w:r>
      <w:r w:rsidRPr="0068159B">
        <w:rPr>
          <w:b/>
          <w:bCs/>
        </w:rPr>
        <w:t>early finger motion</w:t>
      </w:r>
    </w:p>
    <w:p w14:paraId="7938A1B8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 xml:space="preserve">Supported by clinical studies showing </w:t>
      </w:r>
      <w:r w:rsidRPr="0068159B">
        <w:rPr>
          <w:b/>
          <w:bCs/>
        </w:rPr>
        <w:t>similar healing, motion, and strength</w:t>
      </w:r>
      <w:r>
        <w:t xml:space="preserve"> compared with casting for stable fractures</w:t>
      </w:r>
    </w:p>
    <w:p w14:paraId="60ABF7BD" w14:textId="5820B124" w:rsidR="004B154A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 xml:space="preserve">Typically used for </w:t>
      </w:r>
      <w:r w:rsidRPr="0068159B">
        <w:rPr>
          <w:b/>
          <w:bCs/>
        </w:rPr>
        <w:t>2–3 weeks</w:t>
      </w:r>
      <w:r>
        <w:t>, then advance activity as tolerated</w:t>
      </w:r>
    </w:p>
    <w:p w14:paraId="17E645A5" w14:textId="77777777" w:rsidR="0068159B" w:rsidRDefault="0068159B" w:rsidP="0068159B">
      <w:pPr>
        <w:pStyle w:val="Compact"/>
        <w:spacing w:before="0" w:after="160"/>
        <w:ind w:left="360"/>
      </w:pPr>
    </w:p>
    <w:p w14:paraId="404BF510" w14:textId="77777777" w:rsidR="004B154A" w:rsidRDefault="004B154A" w:rsidP="0068159B">
      <w:pPr>
        <w:pStyle w:val="Heading3"/>
        <w:spacing w:before="0" w:after="160"/>
      </w:pPr>
      <w:bookmarkStart w:id="6" w:name="splint-brace-or-cast-immobilization"/>
      <w:bookmarkEnd w:id="5"/>
      <w:r>
        <w:rPr>
          <w:b/>
          <w:bCs/>
        </w:rPr>
        <w:t>Splint, Brace, or Cast Immobilization</w:t>
      </w:r>
    </w:p>
    <w:p w14:paraId="53AC794B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rPr>
          <w:b/>
          <w:bCs/>
        </w:rPr>
        <w:t>Ulnar gutter splint or cast</w:t>
      </w:r>
      <w:r>
        <w:t xml:space="preserve">, </w:t>
      </w:r>
      <w:r>
        <w:rPr>
          <w:b/>
          <w:bCs/>
        </w:rPr>
        <w:t>boxer’s fracture brace</w:t>
      </w:r>
      <w:r>
        <w:t xml:space="preserve">, or </w:t>
      </w:r>
      <w:r>
        <w:rPr>
          <w:b/>
          <w:bCs/>
        </w:rPr>
        <w:t>custom thermoplastic splint</w:t>
      </w:r>
      <w:r>
        <w:t xml:space="preserve"> made by occupational therapy</w:t>
      </w:r>
    </w:p>
    <w:p w14:paraId="799F09C2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Used when pain, swelling, or instability is greater</w:t>
      </w:r>
    </w:p>
    <w:p w14:paraId="58564C18" w14:textId="20ACD02A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 xml:space="preserve">Typically worn for </w:t>
      </w:r>
      <w:r w:rsidRPr="0068159B">
        <w:rPr>
          <w:b/>
          <w:bCs/>
        </w:rPr>
        <w:t>3–4 weeks</w:t>
      </w:r>
      <w:r>
        <w:t>, followed by gradual return to motion</w:t>
      </w:r>
    </w:p>
    <w:p w14:paraId="300853B6" w14:textId="77777777" w:rsidR="0068159B" w:rsidRDefault="0068159B" w:rsidP="0068159B">
      <w:pPr>
        <w:pStyle w:val="Compact"/>
        <w:spacing w:before="0" w:after="160"/>
        <w:ind w:left="720"/>
      </w:pPr>
    </w:p>
    <w:p w14:paraId="082913FD" w14:textId="77777777" w:rsidR="004B154A" w:rsidRDefault="004B154A" w:rsidP="0068159B">
      <w:pPr>
        <w:pStyle w:val="Heading3"/>
        <w:spacing w:before="0" w:after="160"/>
      </w:pPr>
      <w:bookmarkStart w:id="7" w:name="Xfb5ca2484aa6c06096e288eb6c81c9d32232eaa"/>
      <w:bookmarkEnd w:id="6"/>
      <w:r>
        <w:t>Expected Outcomes When Angulation Is Accepted</w:t>
      </w:r>
    </w:p>
    <w:p w14:paraId="2AF09492" w14:textId="77777777" w:rsidR="004B154A" w:rsidRDefault="004B154A" w:rsidP="0068159B">
      <w:pPr>
        <w:pStyle w:val="FirstParagraph"/>
        <w:spacing w:before="0" w:after="160"/>
      </w:pPr>
      <w:r>
        <w:t xml:space="preserve">Accepting some fracture angulation is common and usually does </w:t>
      </w:r>
      <w:r>
        <w:rPr>
          <w:b/>
          <w:bCs/>
        </w:rPr>
        <w:t>not</w:t>
      </w:r>
      <w:r>
        <w:t xml:space="preserve"> limit hand function. Possible long-term findings may include: </w:t>
      </w:r>
    </w:p>
    <w:p w14:paraId="05A215A6" w14:textId="77777777" w:rsidR="0068159B" w:rsidRDefault="004B154A" w:rsidP="0068159B">
      <w:pPr>
        <w:pStyle w:val="FirstParagraph"/>
        <w:numPr>
          <w:ilvl w:val="0"/>
          <w:numId w:val="4"/>
        </w:numPr>
        <w:spacing w:before="0" w:after="160"/>
      </w:pPr>
      <w:r>
        <w:rPr>
          <w:b/>
          <w:bCs/>
        </w:rPr>
        <w:t>Loss of knuckle contour</w:t>
      </w:r>
      <w:r>
        <w:t xml:space="preserve"> (knuckle looks sunken)</w:t>
      </w:r>
    </w:p>
    <w:p w14:paraId="5187BCD5" w14:textId="77777777" w:rsidR="0068159B" w:rsidRDefault="004B154A" w:rsidP="0068159B">
      <w:pPr>
        <w:pStyle w:val="FirstParagraph"/>
        <w:numPr>
          <w:ilvl w:val="0"/>
          <w:numId w:val="4"/>
        </w:numPr>
        <w:spacing w:before="0" w:after="160"/>
      </w:pPr>
      <w:r>
        <w:rPr>
          <w:b/>
          <w:bCs/>
        </w:rPr>
        <w:t>Dorsal bony prominence</w:t>
      </w:r>
      <w:r>
        <w:t xml:space="preserve"> on the back of the hand</w:t>
      </w:r>
    </w:p>
    <w:p w14:paraId="6A807FB3" w14:textId="337BFA25" w:rsidR="004B154A" w:rsidRDefault="004B154A" w:rsidP="0068159B">
      <w:pPr>
        <w:pStyle w:val="FirstParagraph"/>
        <w:numPr>
          <w:ilvl w:val="0"/>
          <w:numId w:val="4"/>
        </w:numPr>
        <w:spacing w:before="0" w:after="160"/>
      </w:pPr>
      <w:r>
        <w:rPr>
          <w:b/>
          <w:bCs/>
        </w:rPr>
        <w:t>Mild decrease in grip strength</w:t>
      </w:r>
      <w:r>
        <w:t xml:space="preserve"> (usually not noticeable for daily activities)</w:t>
      </w:r>
      <w:r w:rsidR="0068159B">
        <w:br/>
      </w:r>
    </w:p>
    <w:p w14:paraId="25B63671" w14:textId="5A535A13" w:rsidR="0068159B" w:rsidRDefault="004B154A" w:rsidP="0068159B">
      <w:pPr>
        <w:pStyle w:val="BodyText"/>
        <w:spacing w:before="0" w:after="160"/>
      </w:pPr>
      <w:r>
        <w:t xml:space="preserve">Most patients still achieve </w:t>
      </w:r>
      <w:r>
        <w:rPr>
          <w:b/>
          <w:bCs/>
        </w:rPr>
        <w:t>good overall hand function</w:t>
      </w:r>
      <w:r>
        <w:t>.</w:t>
      </w:r>
    </w:p>
    <w:p w14:paraId="1E49D555" w14:textId="77777777" w:rsidR="004B154A" w:rsidRDefault="004B154A" w:rsidP="0068159B">
      <w:r>
        <w:pict w14:anchorId="40317F65">
          <v:rect id="_x0000_i1299" style="width:0;height:1.5pt" o:hralign="center" o:hrstd="t" o:hr="t"/>
        </w:pict>
      </w:r>
    </w:p>
    <w:p w14:paraId="6E8DF2DE" w14:textId="77777777" w:rsidR="0068159B" w:rsidRDefault="0068159B" w:rsidP="0068159B">
      <w:bookmarkStart w:id="8" w:name="when-is-surgery-considered"/>
      <w:bookmarkEnd w:id="4"/>
      <w:bookmarkEnd w:id="7"/>
    </w:p>
    <w:p w14:paraId="705D766B" w14:textId="77777777" w:rsidR="0068159B" w:rsidRPr="0068159B" w:rsidRDefault="0068159B" w:rsidP="0068159B"/>
    <w:p w14:paraId="1189F03A" w14:textId="7A0AF1F7" w:rsidR="004B154A" w:rsidRDefault="004B154A" w:rsidP="0068159B">
      <w:pPr>
        <w:pStyle w:val="Heading2"/>
        <w:spacing w:before="0" w:after="160"/>
      </w:pPr>
      <w:r>
        <w:lastRenderedPageBreak/>
        <w:t>When Is Surgery Considered?</w:t>
      </w:r>
    </w:p>
    <w:p w14:paraId="73D1AC72" w14:textId="77777777" w:rsidR="004B154A" w:rsidRDefault="004B154A" w:rsidP="0068159B">
      <w:pPr>
        <w:pStyle w:val="FirstParagraph"/>
        <w:spacing w:before="0" w:after="160"/>
      </w:pPr>
      <w:r>
        <w:t xml:space="preserve">Surgery may be recommended if there is: </w:t>
      </w:r>
    </w:p>
    <w:p w14:paraId="5F8EEF11" w14:textId="77777777" w:rsidR="0068159B" w:rsidRDefault="004B154A" w:rsidP="0068159B">
      <w:pPr>
        <w:pStyle w:val="FirstParagraph"/>
        <w:numPr>
          <w:ilvl w:val="0"/>
          <w:numId w:val="7"/>
        </w:numPr>
        <w:spacing w:before="0" w:after="160"/>
      </w:pPr>
      <w:r>
        <w:rPr>
          <w:b/>
          <w:bCs/>
        </w:rPr>
        <w:t>Finger rotation</w:t>
      </w:r>
      <w:r>
        <w:t xml:space="preserve"> (always unacceptable)</w:t>
      </w:r>
    </w:p>
    <w:p w14:paraId="615A2A6E" w14:textId="2E89B5CB" w:rsidR="0068159B" w:rsidRDefault="004B154A" w:rsidP="0068159B">
      <w:pPr>
        <w:pStyle w:val="FirstParagraph"/>
        <w:numPr>
          <w:ilvl w:val="0"/>
          <w:numId w:val="7"/>
        </w:numPr>
        <w:spacing w:before="0" w:after="160"/>
      </w:pPr>
      <w:r>
        <w:t>Open fracture (skin broken)</w:t>
      </w:r>
    </w:p>
    <w:p w14:paraId="308BED67" w14:textId="77777777" w:rsidR="0068159B" w:rsidRDefault="004B154A" w:rsidP="0068159B">
      <w:pPr>
        <w:pStyle w:val="FirstParagraph"/>
        <w:numPr>
          <w:ilvl w:val="0"/>
          <w:numId w:val="7"/>
        </w:numPr>
        <w:spacing w:before="0" w:after="160"/>
      </w:pPr>
      <w:r>
        <w:t>Inability to maintain alignment with non-surgical care</w:t>
      </w:r>
    </w:p>
    <w:p w14:paraId="4DD18747" w14:textId="4E4E652A" w:rsidR="004B154A" w:rsidRDefault="004B154A" w:rsidP="0068159B">
      <w:pPr>
        <w:pStyle w:val="FirstParagraph"/>
        <w:numPr>
          <w:ilvl w:val="0"/>
          <w:numId w:val="7"/>
        </w:numPr>
        <w:spacing w:before="0" w:after="160"/>
      </w:pPr>
      <w:r>
        <w:rPr>
          <w:b/>
          <w:bCs/>
        </w:rPr>
        <w:t>Excessive angulation causing functional problems</w:t>
      </w:r>
    </w:p>
    <w:p w14:paraId="7A3F7DFD" w14:textId="77777777" w:rsidR="004B154A" w:rsidRDefault="004B154A" w:rsidP="0068159B">
      <w:r>
        <w:pict w14:anchorId="45F12646">
          <v:rect id="_x0000_i1300" style="width:0;height:1.5pt" o:hralign="center" o:hrstd="t" o:hr="t"/>
        </w:pict>
      </w:r>
    </w:p>
    <w:p w14:paraId="70D152E3" w14:textId="77777777" w:rsidR="004B154A" w:rsidRDefault="004B154A" w:rsidP="0068159B">
      <w:pPr>
        <w:pStyle w:val="Heading2"/>
        <w:spacing w:before="0" w:after="160"/>
      </w:pPr>
      <w:bookmarkStart w:id="9" w:name="surgical-treatment-options"/>
      <w:bookmarkEnd w:id="8"/>
      <w:r>
        <w:t>Surgical Treatment Options</w:t>
      </w:r>
    </w:p>
    <w:p w14:paraId="2965B199" w14:textId="77777777" w:rsidR="004B154A" w:rsidRDefault="004B154A" w:rsidP="0068159B">
      <w:pPr>
        <w:numPr>
          <w:ilvl w:val="0"/>
          <w:numId w:val="1"/>
        </w:numPr>
        <w:spacing w:line="240" w:lineRule="auto"/>
      </w:pPr>
      <w:r>
        <w:rPr>
          <w:b/>
          <w:bCs/>
        </w:rPr>
        <w:t>Closed reduction and pinning</w:t>
      </w:r>
      <w:r>
        <w:br/>
      </w:r>
      <w:r>
        <w:rPr>
          <w:i/>
          <w:iCs/>
        </w:rPr>
        <w:t xml:space="preserve">The bone </w:t>
      </w:r>
      <w:proofErr w:type="gramStart"/>
      <w:r>
        <w:rPr>
          <w:i/>
          <w:iCs/>
        </w:rPr>
        <w:t>is</w:t>
      </w:r>
      <w:proofErr w:type="gramEnd"/>
      <w:r>
        <w:rPr>
          <w:i/>
          <w:iCs/>
        </w:rPr>
        <w:t xml:space="preserve"> realigned and held with small temporary pins</w:t>
      </w:r>
    </w:p>
    <w:p w14:paraId="3D5AFA0C" w14:textId="77777777" w:rsidR="004B154A" w:rsidRDefault="004B154A" w:rsidP="0068159B">
      <w:pPr>
        <w:numPr>
          <w:ilvl w:val="0"/>
          <w:numId w:val="1"/>
        </w:numPr>
        <w:spacing w:line="240" w:lineRule="auto"/>
      </w:pPr>
      <w:r>
        <w:rPr>
          <w:b/>
          <w:bCs/>
        </w:rPr>
        <w:t>Plate or screw fixation</w:t>
      </w:r>
      <w:r>
        <w:br/>
      </w:r>
      <w:r>
        <w:rPr>
          <w:i/>
          <w:iCs/>
        </w:rPr>
        <w:t>Metal hardware stabilizes the fracture in more complex or unstable cases</w:t>
      </w:r>
    </w:p>
    <w:p w14:paraId="6637726D" w14:textId="77777777" w:rsidR="004B154A" w:rsidRDefault="004B154A" w:rsidP="0068159B">
      <w:r>
        <w:pict w14:anchorId="4F562A70">
          <v:rect id="_x0000_i1301" style="width:0;height:1.5pt" o:hralign="center" o:hrstd="t" o:hr="t"/>
        </w:pict>
      </w:r>
    </w:p>
    <w:p w14:paraId="782DB827" w14:textId="77777777" w:rsidR="004B154A" w:rsidRDefault="004B154A" w:rsidP="0068159B">
      <w:pPr>
        <w:pStyle w:val="Heading2"/>
        <w:spacing w:before="0" w:after="160" w:line="240" w:lineRule="auto"/>
      </w:pPr>
      <w:bookmarkStart w:id="10" w:name="healing-and-recovery"/>
      <w:bookmarkEnd w:id="9"/>
      <w:r>
        <w:t>Healing and Recovery</w:t>
      </w:r>
    </w:p>
    <w:p w14:paraId="08DFAF53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 xml:space="preserve">Bone healing usually takes </w:t>
      </w:r>
      <w:r>
        <w:rPr>
          <w:b/>
          <w:bCs/>
        </w:rPr>
        <w:t>4–6 weeks</w:t>
      </w:r>
    </w:p>
    <w:p w14:paraId="230869F9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Swelling and stiffness may last longer</w:t>
      </w:r>
    </w:p>
    <w:p w14:paraId="2EA85F22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Hand therapy may be recommended to restore motion and strength</w:t>
      </w:r>
    </w:p>
    <w:p w14:paraId="19E3906D" w14:textId="5937042F" w:rsidR="004B154A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 xml:space="preserve">Most patients return to normal activities by </w:t>
      </w:r>
      <w:r w:rsidRPr="0068159B">
        <w:rPr>
          <w:b/>
          <w:bCs/>
        </w:rPr>
        <w:t>6–8 weeks</w:t>
      </w:r>
      <w:r>
        <w:t>, depending on work and sports</w:t>
      </w:r>
    </w:p>
    <w:p w14:paraId="4A286955" w14:textId="77777777" w:rsidR="004B154A" w:rsidRDefault="004B154A" w:rsidP="0068159B">
      <w:pPr>
        <w:spacing w:line="240" w:lineRule="auto"/>
      </w:pPr>
      <w:r>
        <w:pict w14:anchorId="37A6F0D1">
          <v:rect id="_x0000_i1302" style="width:0;height:1.5pt" o:hralign="center" o:hrstd="t" o:hr="t"/>
        </w:pict>
      </w:r>
    </w:p>
    <w:p w14:paraId="0B5DC384" w14:textId="77777777" w:rsidR="004B154A" w:rsidRDefault="004B154A" w:rsidP="0068159B">
      <w:pPr>
        <w:pStyle w:val="Heading2"/>
        <w:spacing w:before="0" w:after="160" w:line="240" w:lineRule="auto"/>
      </w:pPr>
      <w:bookmarkStart w:id="11" w:name="practical-tips"/>
      <w:bookmarkEnd w:id="10"/>
      <w:r>
        <w:t>Practical Tips</w:t>
      </w:r>
    </w:p>
    <w:p w14:paraId="3601FA1D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 xml:space="preserve">Keep the hand </w:t>
      </w:r>
      <w:r>
        <w:rPr>
          <w:b/>
          <w:bCs/>
        </w:rPr>
        <w:t>elevated</w:t>
      </w:r>
      <w:r>
        <w:t xml:space="preserve"> to reduce swelling</w:t>
      </w:r>
    </w:p>
    <w:p w14:paraId="17FD8B88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 xml:space="preserve">Ice for </w:t>
      </w:r>
      <w:r w:rsidRPr="0068159B">
        <w:rPr>
          <w:b/>
          <w:bCs/>
        </w:rPr>
        <w:t>15–20 minutes</w:t>
      </w:r>
      <w:r>
        <w:t>, several times per day during the first few days</w:t>
      </w:r>
    </w:p>
    <w:p w14:paraId="26412B50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Move fingers as instructed to avoid stiffness</w:t>
      </w:r>
    </w:p>
    <w:p w14:paraId="62B9164A" w14:textId="626DB838" w:rsidR="004B154A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Avoid punching or impact activities until cleared</w:t>
      </w:r>
    </w:p>
    <w:p w14:paraId="71990CB1" w14:textId="77777777" w:rsidR="004B154A" w:rsidRDefault="004B154A" w:rsidP="0068159B">
      <w:pPr>
        <w:spacing w:line="240" w:lineRule="auto"/>
      </w:pPr>
      <w:r>
        <w:pict w14:anchorId="1A714B82">
          <v:rect id="_x0000_i1303" style="width:0;height:1.5pt" o:hralign="center" o:hrstd="t" o:hr="t"/>
        </w:pict>
      </w:r>
    </w:p>
    <w:p w14:paraId="1788CD27" w14:textId="77777777" w:rsidR="004B154A" w:rsidRDefault="004B154A" w:rsidP="0068159B">
      <w:pPr>
        <w:pStyle w:val="Heading2"/>
        <w:spacing w:before="0" w:after="160" w:line="240" w:lineRule="auto"/>
      </w:pPr>
      <w:bookmarkStart w:id="12" w:name="call-the-office-if-you-notice"/>
      <w:bookmarkEnd w:id="11"/>
      <w:r>
        <w:lastRenderedPageBreak/>
        <w:t>Call the Office If You Notice:</w:t>
      </w:r>
    </w:p>
    <w:p w14:paraId="130F6A46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Increasing pain or swelling</w:t>
      </w:r>
    </w:p>
    <w:p w14:paraId="6C16476F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Numbness or tingling in the fingers</w:t>
      </w:r>
    </w:p>
    <w:p w14:paraId="489A90CB" w14:textId="77777777" w:rsidR="0068159B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Worsening deformity</w:t>
      </w:r>
    </w:p>
    <w:p w14:paraId="3865BD00" w14:textId="4B16E6A1" w:rsidR="004B154A" w:rsidRDefault="004B154A" w:rsidP="0068159B">
      <w:pPr>
        <w:pStyle w:val="Compact"/>
        <w:numPr>
          <w:ilvl w:val="0"/>
          <w:numId w:val="1"/>
        </w:numPr>
        <w:spacing w:before="0" w:after="160"/>
      </w:pPr>
      <w:r>
        <w:t>Fingers becoming pale, cold, or blue</w:t>
      </w:r>
      <w:bookmarkEnd w:id="0"/>
      <w:bookmarkEnd w:id="12"/>
    </w:p>
    <w:p w14:paraId="7AA0C63E" w14:textId="77777777" w:rsidR="004B154A" w:rsidRPr="004B154A" w:rsidRDefault="004B154A" w:rsidP="0068159B"/>
    <w:p w14:paraId="6B3F9CDE" w14:textId="77777777" w:rsidR="004B154A" w:rsidRDefault="004B154A" w:rsidP="0068159B"/>
    <w:p w14:paraId="650CD127" w14:textId="77777777" w:rsidR="004B154A" w:rsidRPr="004B154A" w:rsidRDefault="004B154A" w:rsidP="0068159B"/>
    <w:p w14:paraId="05A9E0CD" w14:textId="77777777" w:rsidR="004B154A" w:rsidRDefault="004B154A" w:rsidP="0068159B">
      <w:pPr>
        <w:jc w:val="center"/>
      </w:pPr>
    </w:p>
    <w:p w14:paraId="36EE5DBC" w14:textId="77777777" w:rsidR="004B154A" w:rsidRPr="004B154A" w:rsidRDefault="004B154A" w:rsidP="0068159B">
      <w:pPr>
        <w:jc w:val="center"/>
      </w:pPr>
    </w:p>
    <w:p w14:paraId="051C0B67" w14:textId="77777777" w:rsidR="004B154A" w:rsidRDefault="004B154A" w:rsidP="0068159B">
      <w:pPr>
        <w:jc w:val="center"/>
      </w:pPr>
    </w:p>
    <w:p w14:paraId="0E0A2631" w14:textId="77777777" w:rsidR="004B154A" w:rsidRDefault="004B154A" w:rsidP="0068159B">
      <w:pPr>
        <w:jc w:val="center"/>
      </w:pPr>
    </w:p>
    <w:sectPr w:rsidR="004B1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191E6978" id="_x0000_i1025" style="width:0;height:1.5pt" o:hralign="center" o:bullet="t" o:hrstd="t" o:hr="t"/>
    </w:pict>
  </w:numPicBullet>
  <w:abstractNum w:abstractNumId="0" w15:restartNumberingAfterBreak="0">
    <w:nsid w:val="0000A991"/>
    <w:multiLevelType w:val="multilevel"/>
    <w:tmpl w:val="4BBCEC5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672EB3"/>
    <w:multiLevelType w:val="hybridMultilevel"/>
    <w:tmpl w:val="65C8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850B0"/>
    <w:multiLevelType w:val="hybridMultilevel"/>
    <w:tmpl w:val="1222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D065F"/>
    <w:multiLevelType w:val="hybridMultilevel"/>
    <w:tmpl w:val="313E9DA2"/>
    <w:lvl w:ilvl="0" w:tplc="D85822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069A4"/>
    <w:multiLevelType w:val="hybridMultilevel"/>
    <w:tmpl w:val="EAD48B4E"/>
    <w:lvl w:ilvl="0" w:tplc="913666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417A9"/>
    <w:multiLevelType w:val="hybridMultilevel"/>
    <w:tmpl w:val="CE7E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A232E"/>
    <w:multiLevelType w:val="hybridMultilevel"/>
    <w:tmpl w:val="C738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17620">
    <w:abstractNumId w:val="0"/>
  </w:num>
  <w:num w:numId="2" w16cid:durableId="1408651571">
    <w:abstractNumId w:val="6"/>
  </w:num>
  <w:num w:numId="3" w16cid:durableId="662247190">
    <w:abstractNumId w:val="3"/>
  </w:num>
  <w:num w:numId="4" w16cid:durableId="2080209125">
    <w:abstractNumId w:val="1"/>
  </w:num>
  <w:num w:numId="5" w16cid:durableId="887650197">
    <w:abstractNumId w:val="5"/>
  </w:num>
  <w:num w:numId="6" w16cid:durableId="369885822">
    <w:abstractNumId w:val="4"/>
  </w:num>
  <w:num w:numId="7" w16cid:durableId="1223718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4A"/>
    <w:rsid w:val="00055682"/>
    <w:rsid w:val="004B154A"/>
    <w:rsid w:val="0068159B"/>
    <w:rsid w:val="00C76E8C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25941A"/>
  <w15:chartTrackingRefBased/>
  <w15:docId w15:val="{929B0404-D7E6-40E8-8840-16C7D934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54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4B154A"/>
    <w:pPr>
      <w:spacing w:before="180" w:after="180"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4B154A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4B154A"/>
  </w:style>
  <w:style w:type="paragraph" w:customStyle="1" w:styleId="Compact">
    <w:name w:val="Compact"/>
    <w:basedOn w:val="BodyText"/>
    <w:qFormat/>
    <w:rsid w:val="004B154A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Lucci</dc:creator>
  <cp:keywords/>
  <dc:description/>
  <cp:lastModifiedBy>Marissa Lucci</cp:lastModifiedBy>
  <cp:revision>1</cp:revision>
  <dcterms:created xsi:type="dcterms:W3CDTF">2026-01-12T14:53:00Z</dcterms:created>
  <dcterms:modified xsi:type="dcterms:W3CDTF">2026-01-12T15:09:00Z</dcterms:modified>
</cp:coreProperties>
</file>